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</w:tblBorders>
      </w:tblPr>
      <w:tblGrid>
        <w:gridCol w:w="5184"/>
        <w:gridCol w:w="5184"/>
      </w:tblGrid>
      <w:tr>
        <w:tc>
          <w:tcPr>
            <w:tcW w:type="dxa" w:w="7344"/>
          </w:tcPr>
          <w:p>
            <w:pPr>
              <w:spacing w:before="0" w:after="40"/>
            </w:pPr>
            <w:r>
              <w:rPr>
                <w:rFonts w:ascii="Calibri" w:hAnsi="Calibri"/>
                <w:b/>
                <w:color w:val="B45309"/>
                <w:sz w:val="17"/>
              </w:rPr>
              <w:t>INSTITUTIONAL EQUITY RESEARCH | ASYMMETRIC ALPHA NOTE</w:t>
              <w:br/>
            </w:r>
            <w:r>
              <w:rPr>
                <w:rFonts w:ascii="Arial" w:hAnsi="Arial"/>
                <w:b/>
                <w:color w:val="0F172A"/>
                <w:sz w:val="31"/>
              </w:rPr>
              <w:t>Bitcoin Corporate Treasuries Initiation Report</w:t>
              <w:br/>
            </w:r>
            <w:r>
              <w:rPr>
                <w:rFonts w:ascii="Calibri" w:hAnsi="Calibri"/>
                <w:color w:val="64748B"/>
                <w:sz w:val="19"/>
              </w:rPr>
              <w:t>Capturing Structural Alpha via Digital Credit, Volatility Monetization &amp; mNAV Discipline</w:t>
            </w:r>
          </w:p>
        </w:tc>
        <w:tc>
          <w:tcPr>
            <w:tcW w:type="dxa" w:w="3024"/>
            <w:shd w:val="clear" w:color="auto" w:fill="F8FAFC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before="0" w:after="20"/>
              <w:jc w:val="right"/>
            </w:pPr>
            <w:r>
              <w:rPr>
                <w:rFonts w:ascii="Calibri" w:hAnsi="Calibri"/>
                <w:color w:val="64748B"/>
                <w:sz w:val="16"/>
              </w:rPr>
              <w:t xml:space="preserve">Lead Analyst: </w:t>
            </w:r>
            <w:r>
              <w:rPr>
                <w:rFonts w:ascii="Calibri" w:hAnsi="Calibri"/>
                <w:b/>
                <w:color w:val="0F172A"/>
                <w:sz w:val="16"/>
              </w:rPr>
              <w:t>Mahim Patel</w:t>
              <w:br/>
            </w:r>
            <w:r>
              <w:rPr>
                <w:rFonts w:ascii="Calibri" w:hAnsi="Calibri"/>
                <w:color w:val="64748B"/>
                <w:sz w:val="16"/>
              </w:rPr>
              <w:t xml:space="preserve">Coverage Stance: </w:t>
            </w:r>
            <w:r>
              <w:rPr>
                <w:rFonts w:ascii="Calibri" w:hAnsi="Calibri"/>
                <w:b/>
                <w:color w:val="B45309"/>
                <w:sz w:val="16"/>
              </w:rPr>
              <w:t>HIGH-CONVICTION OVERWEIGHT</w:t>
              <w:br/>
            </w:r>
            <w:r>
              <w:rPr>
                <w:rFonts w:ascii="Calibri" w:hAnsi="Calibri"/>
                <w:color w:val="64748B"/>
                <w:sz w:val="16"/>
              </w:rPr>
              <w:t xml:space="preserve">Seed Deployed: </w:t>
            </w:r>
            <w:r>
              <w:rPr>
                <w:rFonts w:ascii="Calibri" w:hAnsi="Calibri"/>
                <w:b/>
                <w:color w:val="0F172A"/>
                <w:sz w:val="16"/>
              </w:rPr>
              <w:t>INR 3,50,000 (~$4.2K USD)</w:t>
              <w:br/>
            </w:r>
            <w:r>
              <w:rPr>
                <w:rFonts w:ascii="Calibri" w:hAnsi="Calibri"/>
                <w:color w:val="64748B"/>
                <w:sz w:val="16"/>
              </w:rPr>
              <w:t xml:space="preserve">Total Programmed: </w:t>
            </w:r>
            <w:r>
              <w:rPr>
                <w:rFonts w:ascii="Calibri" w:hAnsi="Calibri"/>
                <w:b/>
                <w:color w:val="B45309"/>
                <w:sz w:val="16"/>
              </w:rPr>
              <w:t>INR 21,00,000 (~$25.2K USD)</w:t>
              <w:br/>
            </w:r>
            <w:r>
              <w:rPr>
                <w:rFonts w:ascii="Calibri" w:hAnsi="Calibri"/>
                <w:color w:val="64748B"/>
                <w:sz w:val="16"/>
              </w:rPr>
              <w:t xml:space="preserve">Deployment Route: </w:t>
            </w:r>
            <w:r>
              <w:rPr>
                <w:rFonts w:ascii="Calibri" w:hAnsi="Calibri"/>
                <w:b w:val="0"/>
                <w:color w:val="1E293B"/>
                <w:sz w:val="16"/>
              </w:rPr>
              <w:t>INDmoney (RBI LRS)</w:t>
              <w:br/>
            </w:r>
            <w:r>
              <w:rPr>
                <w:rFonts w:ascii="Calibri" w:hAnsi="Calibri"/>
                <w:color w:val="64748B"/>
                <w:sz w:val="16"/>
              </w:rPr>
              <w:t xml:space="preserve">Target Horizon: </w:t>
            </w:r>
            <w:r>
              <w:rPr>
                <w:rFonts w:ascii="Calibri" w:hAnsi="Calibri"/>
                <w:b/>
                <w:color w:val="1E293B"/>
                <w:sz w:val="16"/>
              </w:rPr>
              <w:t>4-Year Cycle (2026 – 2030)</w:t>
              <w:br/>
            </w:r>
            <w:r>
              <w:rPr>
                <w:rFonts w:ascii="Calibri" w:hAnsi="Calibri"/>
                <w:color w:val="64748B"/>
                <w:sz w:val="16"/>
              </w:rPr>
              <w:t xml:space="preserve">Primary Benchmark: </w:t>
            </w:r>
            <w:r>
              <w:rPr>
                <w:rFonts w:ascii="Calibri" w:hAnsi="Calibri"/>
                <w:b w:val="0"/>
                <w:color w:val="64748B"/>
                <w:sz w:val="16"/>
              </w:rPr>
              <w:t>Spot BTC (BTC/USD)</w:t>
              <w:br/>
            </w:r>
          </w:p>
        </w:tc>
      </w:tr>
    </w:tbl>
    <w:p>
      <w:pPr>
        <w:spacing w:before="40" w:after="100"/>
      </w:pPr>
      <w:r>
        <w:rPr>
          <w:color w:val="B45309"/>
          <w:sz w:val="17"/>
        </w:rPr>
        <w:t>━━━━━━━━━━━━━━━━━━━━━━━━━━━━━━━━━━━━━━━━━━━━━━━━━━━━━━━━━━━━━━━━━━━━━━</w:t>
      </w:r>
    </w:p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1.0 </w:t>
      </w:r>
      <w:r>
        <w:rPr>
          <w:rFonts w:ascii="Arial" w:hAnsi="Arial"/>
          <w:b/>
          <w:color w:val="0F172A"/>
          <w:sz w:val="21"/>
        </w:rPr>
        <w:t>Executive Initiation &amp; Systematic Capital Deployment Architecture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Core Investment Thesis: </w:t>
      </w:r>
      <w:r>
        <w:rPr>
          <w:rFonts w:ascii="Calibri" w:hAnsi="Calibri"/>
          <w:color w:val="1E293B"/>
          <w:sz w:val="19"/>
        </w:rPr>
        <w:t>This research note initiates high-conviction coverage on a concentrated portfolio of Bitcoin Corporate Treasury entities (MicroStrategy, Strive/Semler Scientific, and Metaplanet ADR). The investment roadmap begins with a completed seed deployment of INR 3,50,000, followed by a scheduled top-up of INR 2,50,000 in Year 1 (Total Year 1 = INR 6,00,000), and systematic tranches of INR 5,00,000 per year across Years 2, 3, and 4 (Cumulative Capital = INR 21,00,000 / ~$25,200 USD). All capital is routed through INDmoney under the Reserve Bank of India's Liberalised Remittance Scheme (LRS). Deployments are executed strictly under a quantitative &lt;=15th percentile mNAV discipline to harvest asymmetric structural alpha over spot Bitcoin through corporate digital credit and accretive ATM equity flywheels.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59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Holding / Entity</w:t>
            </w:r>
          </w:p>
        </w:tc>
        <w:tc>
          <w:tcPr>
            <w:tcW w:type="dxa" w:w="187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Ticker / Custody</w:t>
            </w:r>
          </w:p>
        </w:tc>
        <w:tc>
          <w:tcPr>
            <w:tcW w:type="dxa" w:w="1584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Seed Capital (INR)</w:t>
            </w:r>
          </w:p>
        </w:tc>
        <w:tc>
          <w:tcPr>
            <w:tcW w:type="dxa" w:w="115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Weight (%)</w:t>
            </w:r>
          </w:p>
        </w:tc>
        <w:tc>
          <w:tcPr>
            <w:tcW w:type="dxa" w:w="3168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Strategic Role in Portfolio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MicroStrategy Inc.</w:t>
            </w:r>
          </w:p>
        </w:tc>
        <w:tc>
          <w:tcPr>
            <w:tcW w:type="dxa" w:w="1872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NASDAQ: MSTR (INDmoney)</w:t>
            </w:r>
          </w:p>
        </w:tc>
        <w:tc>
          <w:tcPr>
            <w:tcW w:type="dxa" w:w="1584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1,50,000</w:t>
            </w:r>
          </w:p>
        </w:tc>
        <w:tc>
          <w:tcPr>
            <w:tcW w:type="dxa" w:w="1152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42.9%</w:t>
            </w:r>
          </w:p>
        </w:tc>
        <w:tc>
          <w:tcPr>
            <w:tcW w:type="dxa" w:w="3168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Institutional anchor; S&amp;P 500 inclusion flows; massive ATM liquidity; credit market access.</w:t>
            </w:r>
          </w:p>
        </w:tc>
      </w:tr>
      <w:tr>
        <w:tc>
          <w:tcPr>
            <w:tcW w:type="dxa" w:w="2592"/>
            <w:shd w:val="clear" w:color="auto" w:fill="F8FAFC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Strive / Semler Scientific</w:t>
            </w:r>
          </w:p>
        </w:tc>
        <w:tc>
          <w:tcPr>
            <w:tcW w:type="dxa" w:w="1872"/>
            <w:shd w:val="clear" w:color="auto" w:fill="F8FAFC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NASDAQ: SMLR / Strive</w:t>
            </w:r>
          </w:p>
        </w:tc>
        <w:tc>
          <w:tcPr>
            <w:tcW w:type="dxa" w:w="1584"/>
            <w:shd w:val="clear" w:color="auto" w:fill="F8FAFC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1,10,000</w:t>
            </w:r>
          </w:p>
        </w:tc>
        <w:tc>
          <w:tcPr>
            <w:tcW w:type="dxa" w:w="1152"/>
            <w:shd w:val="clear" w:color="auto" w:fill="F8FAFC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31.4%</w:t>
            </w:r>
          </w:p>
        </w:tc>
        <w:tc>
          <w:tcPr>
            <w:tcW w:type="dxa" w:w="3168"/>
            <w:shd w:val="clear" w:color="auto" w:fill="F8FAFC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Mid/small-cap high-beta; operational cash flow redirect into BTC; rapid BTC/share growth.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Metaplanet Inc.</w:t>
            </w:r>
          </w:p>
        </w:tc>
        <w:tc>
          <w:tcPr>
            <w:tcW w:type="dxa" w:w="1872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TSE: 3350 / ADR (INDmoney)</w:t>
            </w:r>
          </w:p>
        </w:tc>
        <w:tc>
          <w:tcPr>
            <w:tcW w:type="dxa" w:w="1584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80,000</w:t>
            </w:r>
          </w:p>
        </w:tc>
        <w:tc>
          <w:tcPr>
            <w:tcW w:type="dxa" w:w="1152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22.8%</w:t>
            </w:r>
          </w:p>
        </w:tc>
        <w:tc>
          <w:tcPr>
            <w:tcW w:type="dxa" w:w="3168"/>
            <w:shd w:val="clear" w:color="auto" w:fill="FFFFFF"/>
            <w:tcMar>
              <w:top w:w="35" w:type="dxa"/>
              <w:bottom w:w="3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Asian MicroStrategy; JPY debt/yield arbitrage; 20% equity tax vs 55% Japanese crypto tax.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59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Deployment Phase / Timing</w:t>
            </w:r>
          </w:p>
        </w:tc>
        <w:tc>
          <w:tcPr>
            <w:tcW w:type="dxa" w:w="187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Tranche Amount (INR)</w:t>
            </w:r>
          </w:p>
        </w:tc>
        <w:tc>
          <w:tcPr>
            <w:tcW w:type="dxa" w:w="1728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Cumulative Capital</w:t>
            </w:r>
          </w:p>
        </w:tc>
        <w:tc>
          <w:tcPr>
            <w:tcW w:type="dxa" w:w="2304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Execution Trigger Condition</w:t>
            </w:r>
          </w:p>
        </w:tc>
        <w:tc>
          <w:tcPr>
            <w:tcW w:type="dxa" w:w="187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Regulatory &amp; TCS Status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Phase 1 (Completed Seed)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3,50,000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3,50,000</w:t>
            </w:r>
          </w:p>
        </w:tc>
        <w:tc>
          <w:tcPr>
            <w:tcW w:type="dxa" w:w="230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Initial baseline entry into MSTR, Strive, Metaplanet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B45309"/>
                <w:sz w:val="15"/>
              </w:rPr>
              <w:t>0% TCS (Under ₹7L limit)</w:t>
            </w:r>
          </w:p>
        </w:tc>
      </w:tr>
      <w:tr>
        <w:tc>
          <w:tcPr>
            <w:tcW w:type="dxa" w:w="259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Phase 2 (Year 1 Top-Up)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2,50,000</w:t>
            </w:r>
          </w:p>
        </w:tc>
        <w:tc>
          <w:tcPr>
            <w:tcW w:type="dxa" w:w="1728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6,00,000</w:t>
            </w:r>
          </w:p>
        </w:tc>
        <w:tc>
          <w:tcPr>
            <w:tcW w:type="dxa" w:w="2304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Secondary tranche on multiple consolidation (&lt;15th %ile)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B45309"/>
                <w:sz w:val="15"/>
              </w:rPr>
              <w:t>0% TCS (Year total ₹6.0L &lt; ₹7L)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Phase 3 (Year 2 Tranche)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5,00,000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11,00,000</w:t>
            </w:r>
          </w:p>
        </w:tc>
        <w:tc>
          <w:tcPr>
            <w:tcW w:type="dxa" w:w="230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Systematic entry during cyclical pullbacks (&lt;15th %ile)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B45309"/>
                <w:sz w:val="15"/>
              </w:rPr>
              <w:t>0% TCS (Year total ₹5.0L &lt; ₹7L)</w:t>
            </w:r>
          </w:p>
        </w:tc>
      </w:tr>
      <w:tr>
        <w:tc>
          <w:tcPr>
            <w:tcW w:type="dxa" w:w="259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Phase 4 (Year 3 Tranche)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5,00,000</w:t>
            </w:r>
          </w:p>
        </w:tc>
        <w:tc>
          <w:tcPr>
            <w:tcW w:type="dxa" w:w="1728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16,00,000</w:t>
            </w:r>
          </w:p>
        </w:tc>
        <w:tc>
          <w:tcPr>
            <w:tcW w:type="dxa" w:w="2304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Systematic accumulation tranche (&lt;15th %ile mNAV)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B45309"/>
                <w:sz w:val="15"/>
              </w:rPr>
              <w:t>0% TCS (Year total ₹5.0L &lt; ₹7L)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Phase 5 (Year 4 Tranche)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5,00,000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21,00,000</w:t>
            </w:r>
          </w:p>
        </w:tc>
        <w:tc>
          <w:tcPr>
            <w:tcW w:type="dxa" w:w="230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Final cycle tranche; pre-euphoria positioning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B45309"/>
                <w:sz w:val="15"/>
              </w:rPr>
              <w:t>0% TCS (Year total ₹5.0L &lt; ₹7L)</w:t>
            </w:r>
          </w:p>
        </w:tc>
      </w:tr>
    </w:tbl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2.0 </w:t>
      </w:r>
      <w:r>
        <w:rPr>
          <w:rFonts w:ascii="Arial" w:hAnsi="Arial"/>
          <w:b/>
          <w:color w:val="0F172A"/>
          <w:sz w:val="21"/>
        </w:rPr>
        <w:t>Macroeconomic Paradigm: Sovereign Debt Spiral &amp; Monetary Debasement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Fiscal Dominance Trap: </w:t>
      </w:r>
      <w:r>
        <w:rPr>
          <w:rFonts w:ascii="Calibri" w:hAnsi="Calibri"/>
          <w:color w:val="1E293B"/>
          <w:sz w:val="19"/>
        </w:rPr>
        <w:t>The global macroeconomic backdrop has crossed into structural Fiscal Dominance—a regime where sovereign debt obligations exceed sustainable debt-to-GDP levels, forcing central banks to subordinate interest-rate policy to sovereign solvency. With US federal debt exceeding $35 Trillion (&gt;120% Debt-to-GDP) and net interest expense surpassing $1.05 Trillion per annum (exceeding total US defense spending), rate hikes mechanically widen the sovereign fiscal deficit, pumping liquidity into the real economy via interest outlays.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Mathematical Mechanics of Debasement: </w:t>
      </w:r>
      <w:r>
        <w:rPr>
          <w:rFonts w:ascii="Calibri" w:hAnsi="Calibri"/>
          <w:color w:val="1E293B"/>
          <w:sz w:val="19"/>
        </w:rPr>
        <w:t>In this monetary regime, the relevant hurdle rate for capital preservation is the compound growth rate of global broad money supply (M2 CAGR). Real purchasing power decays exponentially: Pt = P0 * (1 - pi_real)^t, where pi_real = (Delta M2 / M2) - Delta Y_real. With global M2 compounding at 7%–10% annually against 2.5% real economic growth, unhedged cash and fixed-income assets guarantee capital destruction.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16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Asset Class</w:t>
            </w:r>
          </w:p>
        </w:tc>
        <w:tc>
          <w:tcPr>
            <w:tcW w:type="dxa" w:w="2016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Supply Scarcity / S2F</w:t>
            </w:r>
          </w:p>
        </w:tc>
        <w:tc>
          <w:tcPr>
            <w:tcW w:type="dxa" w:w="2160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Dilution Risk / Elasticity</w:t>
            </w:r>
          </w:p>
        </w:tc>
        <w:tc>
          <w:tcPr>
            <w:tcW w:type="dxa" w:w="1728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Holding / Carry Cost</w:t>
            </w:r>
          </w:p>
        </w:tc>
        <w:tc>
          <w:tcPr>
            <w:tcW w:type="dxa" w:w="2448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Settlement Velocity &amp; Portability</w:t>
            </w:r>
          </w:p>
        </w:tc>
      </w:tr>
      <w:tr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Bitcoin (BTC)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Absolute Scarcity: 21M cap; S2F -&gt; Infinity</w:t>
            </w:r>
          </w:p>
        </w:tc>
        <w:tc>
          <w:tcPr>
            <w:tcW w:type="dxa" w:w="216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Zero supply response to price; strictly inelastic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Zero storage cost; non-depreciating pure code</w:t>
            </w:r>
          </w:p>
        </w:tc>
        <w:tc>
          <w:tcPr>
            <w:tcW w:type="dxa" w:w="244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Instant borderless final settlement; 24/7 global liquidity</w:t>
            </w:r>
          </w:p>
        </w:tc>
      </w:tr>
      <w:tr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Physical Gold</w:t>
            </w:r>
          </w:p>
        </w:tc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High Stock-to-Flow (~60-80 years)</w:t>
            </w:r>
          </w:p>
        </w:tc>
        <w:tc>
          <w:tcPr>
            <w:tcW w:type="dxa" w:w="216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1.5%–2.5% annual supply dilution via new mining</w:t>
            </w:r>
          </w:p>
        </w:tc>
        <w:tc>
          <w:tcPr>
            <w:tcW w:type="dxa" w:w="1728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Storage, assaying, vault security (0.2%-0.5% p.a.)</w:t>
            </w:r>
          </w:p>
        </w:tc>
        <w:tc>
          <w:tcPr>
            <w:tcW w:type="dxa" w:w="2448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Physical transport friction; assaying verification delays</w:t>
            </w:r>
          </w:p>
        </w:tc>
      </w:tr>
      <w:tr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Prime Real Estate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Local land scarcity; variable S2F</w:t>
            </w:r>
          </w:p>
        </w:tc>
        <w:tc>
          <w:tcPr>
            <w:tcW w:type="dxa" w:w="216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Zoning expansions, high-rise up-zoning, new permits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Property taxes (1-3% p.a.), maintenance, insurance</w:t>
            </w:r>
          </w:p>
        </w:tc>
        <w:tc>
          <w:tcPr>
            <w:tcW w:type="dxa" w:w="244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Highly illiquid; weeks-to-months settlement cycle</w:t>
            </w:r>
          </w:p>
        </w:tc>
      </w:tr>
      <w:tr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US Treasuries / Cash</w:t>
            </w:r>
          </w:p>
        </w:tc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Negative scarcity; uncapped expansion</w:t>
            </w:r>
          </w:p>
        </w:tc>
        <w:tc>
          <w:tcPr>
            <w:tcW w:type="dxa" w:w="216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Uncapped fiscal dilution; exponential debt growth</w:t>
            </w:r>
          </w:p>
        </w:tc>
        <w:tc>
          <w:tcPr>
            <w:tcW w:type="dxa" w:w="1728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Guaranteed negative real yield post monetary dilution</w:t>
            </w:r>
          </w:p>
        </w:tc>
        <w:tc>
          <w:tcPr>
            <w:tcW w:type="dxa" w:w="2448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Restricted banking hours; sanctions/censorship exposure</w:t>
            </w:r>
          </w:p>
        </w:tc>
      </w:tr>
    </w:tbl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3.0 </w:t>
      </w:r>
      <w:r>
        <w:rPr>
          <w:rFonts w:ascii="Arial" w:hAnsi="Arial"/>
          <w:b/>
          <w:color w:val="0F172A"/>
          <w:sz w:val="21"/>
        </w:rPr>
        <w:t>Bitcoin Layer-1 as the Base Settlement Layer of Future Global Finance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Settlement Convergence Thesis: </w:t>
      </w:r>
      <w:r>
        <w:rPr>
          <w:rFonts w:ascii="Calibri" w:hAnsi="Calibri"/>
          <w:color w:val="1E293B"/>
          <w:sz w:val="19"/>
        </w:rPr>
        <w:t>Major financial innovations across the digital asset economy will ultimately settle upon Bitcoin Layer-1. Alternative Layer-1 networks routinely sacrifice state decentralization and ledger immutability to chase ephemeral transaction throughput. Bitcoin's Proof-of-Work thermodynamic consensus represents an unbreachable settlement layer supporting secondary infrastructure:</w:t>
      </w:r>
    </w:p>
    <w:p>
      <w:pPr>
        <w:spacing w:before="0" w:after="30" w:line="276" w:lineRule="auto"/>
      </w:pPr>
      <w:r>
        <w:rPr>
          <w:rFonts w:ascii="Calibri" w:hAnsi="Calibri"/>
          <w:b/>
          <w:color w:val="0F172A"/>
          <w:sz w:val="19"/>
        </w:rPr>
        <w:t xml:space="preserve">• Stablecoin Rails: </w:t>
      </w:r>
      <w:r>
        <w:rPr>
          <w:rFonts w:ascii="Calibri" w:hAnsi="Calibri"/>
          <w:color w:val="1E293B"/>
          <w:sz w:val="19"/>
        </w:rPr>
        <w:t>Taproot Assets and Lightning Network facilitate instant, low-fee US Dollar stablecoin settlement finalized against Bitcoin's thermodynamic base-layer security.</w:t>
      </w:r>
    </w:p>
    <w:p>
      <w:pPr>
        <w:spacing w:before="0" w:after="30" w:line="276" w:lineRule="auto"/>
      </w:pPr>
      <w:r>
        <w:rPr>
          <w:rFonts w:ascii="Calibri" w:hAnsi="Calibri"/>
          <w:b/>
          <w:color w:val="0F172A"/>
          <w:sz w:val="19"/>
        </w:rPr>
        <w:t xml:space="preserve">• RWA Tokenization &amp; Runes/Ordinals: </w:t>
      </w:r>
      <w:r>
        <w:rPr>
          <w:rFonts w:ascii="Calibri" w:hAnsi="Calibri"/>
          <w:color w:val="1E293B"/>
          <w:sz w:val="19"/>
        </w:rPr>
        <w:t>Verifiable digital artifacts and real-world asset claims are anchored directly into satoshis, creating immutable provenance without smart contract counterparty risk.</w:t>
      </w:r>
    </w:p>
    <w:p>
      <w:pPr>
        <w:spacing w:before="0" w:after="30" w:line="276" w:lineRule="auto"/>
      </w:pPr>
      <w:r>
        <w:rPr>
          <w:rFonts w:ascii="Calibri" w:hAnsi="Calibri"/>
          <w:b/>
          <w:color w:val="0F172A"/>
          <w:sz w:val="19"/>
        </w:rPr>
        <w:t xml:space="preserve">• Trust-Minimized Programmability: </w:t>
      </w:r>
      <w:r>
        <w:rPr>
          <w:rFonts w:ascii="Calibri" w:hAnsi="Calibri"/>
          <w:color w:val="1E293B"/>
          <w:sz w:val="19"/>
        </w:rPr>
        <w:t>BitVM achieves Turing-complete verification on Bitcoin without protocol forks. Stacks (sBTC consensus linkage) and Babylon (BTC shared security staking) unlock yield without compromising sovereign self-custody.</w:t>
      </w:r>
    </w:p>
    <w:p>
      <w:pPr>
        <w:spacing w:before="0" w:after="30" w:line="276" w:lineRule="auto"/>
      </w:pPr>
      <w:r>
        <w:rPr>
          <w:rFonts w:ascii="Calibri" w:hAnsi="Calibri"/>
          <w:b/>
          <w:color w:val="0F172A"/>
          <w:sz w:val="19"/>
        </w:rPr>
        <w:t xml:space="preserve">• Cryptographic Rollups: </w:t>
      </w:r>
      <w:r>
        <w:rPr>
          <w:rFonts w:ascii="Calibri" w:hAnsi="Calibri"/>
          <w:color w:val="1E293B"/>
          <w:sz w:val="19"/>
        </w:rPr>
        <w:t>ZK-rollups process high-velocity computations off-chain while anchoring cryptographic validity proofs into Bitcoin blocks.</w:t>
      </w:r>
    </w:p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4.0 </w:t>
      </w:r>
      <w:r>
        <w:rPr>
          <w:rFonts w:ascii="Arial" w:hAnsi="Arial"/>
          <w:b/>
          <w:color w:val="0F172A"/>
          <w:sz w:val="21"/>
        </w:rPr>
        <w:t>Digital Credit &amp; Capital Structure Arbitrage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Spread Arbitrage: </w:t>
      </w:r>
      <w:r>
        <w:rPr>
          <w:rFonts w:ascii="Calibri" w:hAnsi="Calibri"/>
          <w:color w:val="1E293B"/>
          <w:sz w:val="19"/>
        </w:rPr>
        <w:t>Traditional corporate debt funds depreciating capital assets with uncertain return on invested capital (ROIC). Bitcoin Treasury entities execute a structural macro spread trade: issuing fiat liabilities at 0%–1% interest to acquire an asset compounding at &gt;40% CAGR. This constitutes Digital Credit—monetizing the gap between the corporate cost of capital (WACC &lt; 1.5%) and Bitcoin's monetary appreciation.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Institutional Convertible Arbitrage: </w:t>
      </w:r>
      <w:r>
        <w:rPr>
          <w:rFonts w:ascii="Calibri" w:hAnsi="Calibri"/>
          <w:color w:val="1E293B"/>
          <w:sz w:val="19"/>
        </w:rPr>
        <w:t>Convertible Senior Notes (Rule 144A) form the core borrowing mechanism. MicroStrategy and Metaplanet issue 5-to-8 year notes carrying 0.0% to 0.875% cash coupons at 30%–40% conversion premiums. Institutional fixed-income buyers execute convertible arbitrage—purchasing the notes and delta-hedging by shorting common stock to capture implied volatility while securing par redemption. The corporate issuer effectively accesses institutional fiat liquidity at negative real rates.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Zero Margin-Call Architecture: </w:t>
      </w:r>
      <w:r>
        <w:rPr>
          <w:rFonts w:ascii="Calibri" w:hAnsi="Calibri"/>
          <w:color w:val="1E293B"/>
          <w:sz w:val="19"/>
        </w:rPr>
        <w:t>The corporate notes are general, unsecured senior obligations of the parent. There are zero loan-to-value (LTV) liquidation covenants, zero margin maintenance triggers, and zero collateral liens on the underlying Bitcoin reserves. Even under an 80% market crash, creditors cannot force Bitcoin liquidations.</w:t>
      </w:r>
    </w:p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5.0 </w:t>
      </w:r>
      <w:r>
        <w:rPr>
          <w:rFonts w:ascii="Arial" w:hAnsi="Arial"/>
          <w:b/>
          <w:color w:val="0F172A"/>
          <w:sz w:val="21"/>
        </w:rPr>
        <w:t>The Reflexive ATM Flywheel &amp; 'BTC Yield' Accretion Mathematics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ATM Flywheel Condition (mNAV &gt; 1.0x): </w:t>
      </w:r>
      <w:r>
        <w:rPr>
          <w:rFonts w:ascii="Calibri" w:hAnsi="Calibri"/>
          <w:color w:val="1E293B"/>
          <w:sz w:val="19"/>
        </w:rPr>
        <w:t>When a company's stock trades at an Enterprise Value exceeding the market value of its underlying Bitcoin (mNAV &gt; 1.0x), At-The-Market (ATM) equity offerings (Rule 415) are mathematically non-dilutive. Newly issued equity monetizes the market's speculative premium to acquire spot Bitcoin at an effective net discount, increasing the underlying Bitcoin backing per share for existing holders.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Numerical Balance Sheet Proof: </w:t>
      </w:r>
      <w:r>
        <w:rPr>
          <w:rFonts w:ascii="Calibri" w:hAnsi="Calibri"/>
          <w:color w:val="1E293B"/>
          <w:sz w:val="19"/>
        </w:rPr>
        <w:t>Accretion is measured via 'BTC Yield': the period-over-period percentage growth in the ratio of Bitcoin holdings to diluted share count: BTC Yield = [(BTC_t / Shares_t) - (BTC_0 / Shares_0)] / (BTC_0 / Shares_0). Balance sheet walkthrough: 10M shares holding 10,000 BTC ($100k spot, $100 NAV/share) trading at 2.0x mNAV ($200/share). A $100M ATM offering issues 500k shares (+5% dilution) and purchases 1,000 BTC (+10% asset growth). BTC/share jumps from 0.001000 to 0.001048—delivering +4.76% net asset accretion with zero capital required from shareholders.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160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Market Multiple (mNAV)</w:t>
            </w:r>
          </w:p>
        </w:tc>
        <w:tc>
          <w:tcPr>
            <w:tcW w:type="dxa" w:w="187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Equity Issue Price</w:t>
            </w:r>
          </w:p>
        </w:tc>
        <w:tc>
          <w:tcPr>
            <w:tcW w:type="dxa" w:w="2304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Shares Issued per $1B Raise</w:t>
            </w:r>
          </w:p>
        </w:tc>
        <w:tc>
          <w:tcPr>
            <w:tcW w:type="dxa" w:w="2016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BTC Acquired ($100k Spot)</w:t>
            </w:r>
          </w:p>
        </w:tc>
        <w:tc>
          <w:tcPr>
            <w:tcW w:type="dxa" w:w="2016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Net BTC Yield Accretion (%)</w:t>
            </w:r>
          </w:p>
        </w:tc>
      </w:tr>
      <w:tr>
        <w:tc>
          <w:tcPr>
            <w:tcW w:type="dxa" w:w="216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1.20x (Trough / Compression)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$120.00</w:t>
            </w:r>
          </w:p>
        </w:tc>
        <w:tc>
          <w:tcPr>
            <w:tcW w:type="dxa" w:w="230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8,333,333 shares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10,000 BTC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+1.54% per share</w:t>
            </w:r>
          </w:p>
        </w:tc>
      </w:tr>
      <w:tr>
        <w:tc>
          <w:tcPr>
            <w:tcW w:type="dxa" w:w="216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1.50x (Baseline Median)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$150.00</w:t>
            </w:r>
          </w:p>
        </w:tc>
        <w:tc>
          <w:tcPr>
            <w:tcW w:type="dxa" w:w="2304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6,666,667 shares</w:t>
            </w:r>
          </w:p>
        </w:tc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10,000 BTC</w:t>
            </w:r>
          </w:p>
        </w:tc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+3.12% per share</w:t>
            </w:r>
          </w:p>
        </w:tc>
      </w:tr>
      <w:tr>
        <w:tc>
          <w:tcPr>
            <w:tcW w:type="dxa" w:w="216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2.00x (Bull Expansion)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$200.00</w:t>
            </w:r>
          </w:p>
        </w:tc>
        <w:tc>
          <w:tcPr>
            <w:tcW w:type="dxa" w:w="230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5,000,000 shares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10,000 BTC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+4.76% per share</w:t>
            </w:r>
          </w:p>
        </w:tc>
      </w:tr>
      <w:tr>
        <w:tc>
          <w:tcPr>
            <w:tcW w:type="dxa" w:w="216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2.50x (High Momentum)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$250.00</w:t>
            </w:r>
          </w:p>
        </w:tc>
        <w:tc>
          <w:tcPr>
            <w:tcW w:type="dxa" w:w="2304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4,000,000 shares</w:t>
            </w:r>
          </w:p>
        </w:tc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10,000 BTC</w:t>
            </w:r>
          </w:p>
        </w:tc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+5.77% per share</w:t>
            </w:r>
          </w:p>
        </w:tc>
      </w:tr>
      <w:tr>
        <w:tc>
          <w:tcPr>
            <w:tcW w:type="dxa" w:w="216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3.00x (Euphoria Premium)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$300.00</w:t>
            </w:r>
          </w:p>
        </w:tc>
        <w:tc>
          <w:tcPr>
            <w:tcW w:type="dxa" w:w="230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3,333,333 shares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10,000 BTC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+6.45% per share</w:t>
            </w:r>
          </w:p>
        </w:tc>
      </w:tr>
    </w:tbl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6.0 </w:t>
      </w:r>
      <w:r>
        <w:rPr>
          <w:rFonts w:ascii="Arial" w:hAnsi="Arial"/>
          <w:b/>
          <w:color w:val="0F172A"/>
          <w:sz w:val="21"/>
        </w:rPr>
        <w:t>Valuation Discipline: Statistical mNAV Bands &amp; The 15th Percentile Rule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mNAV Multiple Regime: </w:t>
      </w:r>
      <w:r>
        <w:rPr>
          <w:rFonts w:ascii="Calibri" w:hAnsi="Calibri"/>
          <w:color w:val="1E293B"/>
          <w:sz w:val="19"/>
        </w:rPr>
        <w:t>Valuing corporate treasuries requires Market Net Asset Value: mNAV = Enterprise Value / (Spot BTC Price * Total BTC Holdings). Historical multiples cycle through distinct distribution regimes: (1) Deep Multiple Compression: 1.05x–1.25x mNAV; (2) Normal Accumulation: 1.50x–1.90x mNAV; (3) Speculative Blow-off: 2.50x–3.50x mNAV.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15th Percentile Quantitative Entry Protocol: </w:t>
      </w:r>
      <w:r>
        <w:rPr>
          <w:rFonts w:ascii="Calibri" w:hAnsi="Calibri"/>
          <w:color w:val="1E293B"/>
          <w:sz w:val="19"/>
        </w:rPr>
        <w:t>Deploying capital strictly below the 15th percentile of historical rolling mNAV provides a quantitative margin of safety. Entering at 1.10x–1.25x mNAV strips away the speculative premium, acquiring leveraged corporate exposure at near-parity with underlying spot assets. As market sentiment normalizes toward the median (1.75x) or 85th percentile (2.50x), multiple expansion generates 60%–115% structural alpha on top of base Bitcoin appreciation.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Cyclical Rebalancing &amp; Profit Realization: </w:t>
      </w:r>
      <w:r>
        <w:rPr>
          <w:rFonts w:ascii="Calibri" w:hAnsi="Calibri"/>
          <w:color w:val="1E293B"/>
          <w:sz w:val="19"/>
        </w:rPr>
        <w:t>Disciplined profit-taking dictates trimming positions when mNAV expands beyond the 85th percentile (&gt;2.50x). Gains are systematically rotated into spot Bitcoin, liquid reserves, or temporarily compressed treasury peers (e.g., rotating MSTR premium into Metaplanet discount), re-entering only after mNAV resets below the 25th percentile.</w:t>
      </w:r>
    </w:p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7.0 </w:t>
      </w:r>
      <w:r>
        <w:rPr>
          <w:rFonts w:ascii="Arial" w:hAnsi="Arial"/>
          <w:b/>
          <w:color w:val="0F172A"/>
          <w:sz w:val="21"/>
        </w:rPr>
        <w:t>The Structural Floor Hypothesis: Corporate Treasuries Cushioning Bear Cycles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Historical Drawdown Microstructure: </w:t>
      </w:r>
      <w:r>
        <w:rPr>
          <w:rFonts w:ascii="Calibri" w:hAnsi="Calibri"/>
          <w:color w:val="1E293B"/>
          <w:sz w:val="19"/>
        </w:rPr>
        <w:t>Historically, Bitcoin bear markets experienced catastrophic drawdowns: 2014 (-86%), 2018 (-84%), and 2022 (-77%). These crashes were precipitated by recursive liquidations across uncollateralized shadow-lending platforms (Mt. Gox, Terra-Luna, 3AC, FTX) dumping into thin order books.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Permanent Balance Sheet Sinks: </w:t>
      </w:r>
      <w:r>
        <w:rPr>
          <w:rFonts w:ascii="Calibri" w:hAnsi="Calibri"/>
          <w:color w:val="1E293B"/>
          <w:sz w:val="19"/>
        </w:rPr>
        <w:t>The institutional landscape post-2024 introduces permanent corporate sinks. Corporate treasuries (MSTR, Metaplanet, Semler) operate with indefinite holding horizons ('never sell'). Their balance sheets act as counter-cyclical liquidity sponges: as spot prices drop 30%–40%, ATM facilities and convertible debt issuances expand to absorb miner capitulation and forced selling.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-50% Drawdown Floor Paradigm: </w:t>
      </w:r>
      <w:r>
        <w:rPr>
          <w:rFonts w:ascii="Calibri" w:hAnsi="Calibri"/>
          <w:color w:val="1E293B"/>
          <w:sz w:val="19"/>
        </w:rPr>
        <w:t>With spot ETFs and corporate treasuries permanently locking up &gt;12% of circulating Bitcoin supply, exchange liquid float has collapsed. This creates a game-theoretic support floor around a ~50% peak-to-trough drawdown (e.g., a cycle peak of $160,000 bottoming at $80,000 rather than crashing to $30,000). Corporate balance sheets structurally compress the downside tail of the asset class.</w:t>
      </w:r>
    </w:p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8.0 </w:t>
      </w:r>
      <w:r>
        <w:rPr>
          <w:rFonts w:ascii="Arial" w:hAnsi="Arial"/>
          <w:b/>
          <w:color w:val="0F172A"/>
          <w:sz w:val="21"/>
        </w:rPr>
        <w:t>Flagship Asset Analysis: MicroStrategy (NASDAQ: MSTR)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Enterprise Overview: </w:t>
      </w:r>
      <w:r>
        <w:rPr>
          <w:rFonts w:ascii="Calibri" w:hAnsi="Calibri"/>
          <w:color w:val="1E293B"/>
          <w:sz w:val="19"/>
        </w:rPr>
        <w:t>MicroStrategy is the premier institutional vehicle in corporate digital credit. While its enterprise analytics software division provides ~$480M in steady annual revenues covering operating and interest expenses, its balance sheet transformation into a dedicated Bitcoin Development Company is the primary value driver.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59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Debt Instrument</w:t>
            </w:r>
          </w:p>
        </w:tc>
        <w:tc>
          <w:tcPr>
            <w:tcW w:type="dxa" w:w="187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Principal Amount</w:t>
            </w:r>
          </w:p>
        </w:tc>
        <w:tc>
          <w:tcPr>
            <w:tcW w:type="dxa" w:w="1440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Coupon Rate</w:t>
            </w:r>
          </w:p>
        </w:tc>
        <w:tc>
          <w:tcPr>
            <w:tcW w:type="dxa" w:w="1584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Maturity Year</w:t>
            </w:r>
          </w:p>
        </w:tc>
        <w:tc>
          <w:tcPr>
            <w:tcW w:type="dxa" w:w="2880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Conversion Premium / Price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Convertible Senior Notes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$650 Million</w:t>
            </w:r>
          </w:p>
        </w:tc>
        <w:tc>
          <w:tcPr>
            <w:tcW w:type="dxa" w:w="144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0.750%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2025 (Refinanced)</w:t>
            </w:r>
          </w:p>
        </w:tc>
        <w:tc>
          <w:tcPr>
            <w:tcW w:type="dxa" w:w="288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$397.99 conversion strike</w:t>
            </w:r>
          </w:p>
        </w:tc>
      </w:tr>
      <w:tr>
        <w:tc>
          <w:tcPr>
            <w:tcW w:type="dxa" w:w="259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Convertible Senior Notes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$1,050 Million</w:t>
            </w:r>
          </w:p>
        </w:tc>
        <w:tc>
          <w:tcPr>
            <w:tcW w:type="dxa" w:w="144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0.000%</w:t>
            </w:r>
          </w:p>
        </w:tc>
        <w:tc>
          <w:tcPr>
            <w:tcW w:type="dxa" w:w="1584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2027</w:t>
            </w:r>
          </w:p>
        </w:tc>
        <w:tc>
          <w:tcPr>
            <w:tcW w:type="dxa" w:w="288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$1,432.50 conversion strike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Senior Secured Notes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$500 Million</w:t>
            </w:r>
          </w:p>
        </w:tc>
        <w:tc>
          <w:tcPr>
            <w:tcW w:type="dxa" w:w="144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6.125%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2028 (Callable)</w:t>
            </w:r>
          </w:p>
        </w:tc>
        <w:tc>
          <w:tcPr>
            <w:tcW w:type="dxa" w:w="288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Pari passu security</w:t>
            </w:r>
          </w:p>
        </w:tc>
      </w:tr>
      <w:tr>
        <w:tc>
          <w:tcPr>
            <w:tcW w:type="dxa" w:w="259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Convertible Senior Notes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$800 Million</w:t>
            </w:r>
          </w:p>
        </w:tc>
        <w:tc>
          <w:tcPr>
            <w:tcW w:type="dxa" w:w="144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2.250%</w:t>
            </w:r>
          </w:p>
        </w:tc>
        <w:tc>
          <w:tcPr>
            <w:tcW w:type="dxa" w:w="1584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2032</w:t>
            </w:r>
          </w:p>
        </w:tc>
        <w:tc>
          <w:tcPr>
            <w:tcW w:type="dxa" w:w="288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$2,045.00 conversion strike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Convertible Senior Notes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$1,010 Million</w:t>
            </w:r>
          </w:p>
        </w:tc>
        <w:tc>
          <w:tcPr>
            <w:tcW w:type="dxa" w:w="144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0.625%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2028</w:t>
            </w:r>
          </w:p>
        </w:tc>
        <w:tc>
          <w:tcPr>
            <w:tcW w:type="dxa" w:w="288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$1,831.94 conversion strike</w:t>
            </w:r>
          </w:p>
        </w:tc>
      </w:tr>
    </w:tbl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Solvency Runway &amp; Index Inflows: </w:t>
      </w:r>
      <w:r>
        <w:rPr>
          <w:rFonts w:ascii="Calibri" w:hAnsi="Calibri"/>
          <w:color w:val="1E293B"/>
          <w:sz w:val="19"/>
        </w:rPr>
        <w:t>Total annual debt service on MSTR's convertible notes is under $40 Million—fully covered by operational software cash flows. Under FASB ASU 2023-08, mark-to-market fair-value accounting for Bitcoin holdings creates GAAP net income eligibility, unlocking programmatic index inclusion inflows (MSCI, Nasdaq-100, and potential S&amp;P 500 entry). This anchors MSTR as the core 42.9% initial allocation (INR 1,50,000) in Mahim Patel's portfolio.</w:t>
      </w:r>
    </w:p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9.0 </w:t>
      </w:r>
      <w:r>
        <w:rPr>
          <w:rFonts w:ascii="Arial" w:hAnsi="Arial"/>
          <w:b/>
          <w:color w:val="0F172A"/>
          <w:sz w:val="21"/>
        </w:rPr>
        <w:t>High-Beta Satellites: Metaplanet (TSE: 3350 / ADR) &amp; Strive / Semler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Metaplanet (The JPY Debt Arbitrage): </w:t>
      </w:r>
      <w:r>
        <w:rPr>
          <w:rFonts w:ascii="Calibri" w:hAnsi="Calibri"/>
          <w:color w:val="1E293B"/>
          <w:sz w:val="19"/>
        </w:rPr>
        <w:t>Metaplanet (INR 80,000 seed allocation via OTC ADR) is an asymmetric macro play on the structural insolvency of the Japanese Yen. Japan's debt-to-GDP (&gt;260%) and the Bank of Japan's yield curve control create severe negative real yields. Metaplanet issues moving-strike share acquisition rights to Japanese institutions to accumulate Bitcoin, capturing a 34-year currency debasement spread. Crucially, Japanese individual crypto gains face punitive progressive taxation up to 55%, whereas public equities (Metaplanet) are taxed at a flat 20%, driving strong domestic retail demand.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Strive / Semler Scientific (Cash-Flow Compounding): </w:t>
      </w:r>
      <w:r>
        <w:rPr>
          <w:rFonts w:ascii="Calibri" w:hAnsi="Calibri"/>
          <w:color w:val="1E293B"/>
          <w:sz w:val="19"/>
        </w:rPr>
        <w:t>Strive / Semler Scientific (INR 1,10,000 seed allocation via NASDAQ: SMLR) couples a cash-cow healthcare diagnostics business (QuantaFlo, generating ~40% operating margins) with an aggressive Bitcoin treasury mandate. With zero funded debt and consistent operational cash flows, Semler directs 100% of free cash flow into programmatic Bitcoin purchases, generating high-beta BTC Yield expansion across a microcap share float.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59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Entity / Ticker</w:t>
            </w:r>
          </w:p>
        </w:tc>
        <w:tc>
          <w:tcPr>
            <w:tcW w:type="dxa" w:w="1872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Market Cap Category</w:t>
            </w:r>
          </w:p>
        </w:tc>
        <w:tc>
          <w:tcPr>
            <w:tcW w:type="dxa" w:w="2016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Primary Debt Tool</w:t>
            </w:r>
          </w:p>
        </w:tc>
        <w:tc>
          <w:tcPr>
            <w:tcW w:type="dxa" w:w="1728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Historical mNAV Range</w:t>
            </w:r>
          </w:p>
        </w:tc>
        <w:tc>
          <w:tcPr>
            <w:tcW w:type="dxa" w:w="2160"/>
            <w:shd w:val="clear" w:color="auto" w:fill="0F172A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Strategic Alpha Driver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MicroStrategy (MSTR)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Mega-Cap FinTech ($40B+)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Institutional Convertibles (144A)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1.10x – 3.20x</w:t>
            </w:r>
          </w:p>
        </w:tc>
        <w:tc>
          <w:tcPr>
            <w:tcW w:type="dxa" w:w="216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Index inclusion inflows; institutional liquidity</w:t>
            </w:r>
          </w:p>
        </w:tc>
      </w:tr>
      <w:tr>
        <w:tc>
          <w:tcPr>
            <w:tcW w:type="dxa" w:w="259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Metaplanet (3350 / ADR)</w:t>
            </w:r>
          </w:p>
        </w:tc>
        <w:tc>
          <w:tcPr>
            <w:tcW w:type="dxa" w:w="1872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Small-Cap Japanese Equity</w:t>
            </w:r>
          </w:p>
        </w:tc>
        <w:tc>
          <w:tcPr>
            <w:tcW w:type="dxa" w:w="2016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Moving-Strike Rights &amp; JPY Debt</w:t>
            </w:r>
          </w:p>
        </w:tc>
        <w:tc>
          <w:tcPr>
            <w:tcW w:type="dxa" w:w="1728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1.20x – 4.50x</w:t>
            </w:r>
          </w:p>
        </w:tc>
        <w:tc>
          <w:tcPr>
            <w:tcW w:type="dxa" w:w="2160"/>
            <w:shd w:val="clear" w:color="auto" w:fill="F8FAFC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JPY carry trade; 20% vs 55% Japanese tax arbitrage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Strive / Semler (SMLR)</w:t>
            </w:r>
          </w:p>
        </w:tc>
        <w:tc>
          <w:tcPr>
            <w:tcW w:type="dxa" w:w="1872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Micro-Cap Healthcare / Tech</w:t>
            </w:r>
          </w:p>
        </w:tc>
        <w:tc>
          <w:tcPr>
            <w:tcW w:type="dxa" w:w="2016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Operating Free Cash Flow &amp; ATM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1.05x – 2.10x</w:t>
            </w:r>
          </w:p>
        </w:tc>
        <w:tc>
          <w:tcPr>
            <w:tcW w:type="dxa" w:w="2160"/>
            <w:shd w:val="clear" w:color="auto" w:fill="FFFFFF"/>
            <w:tcMar>
              <w:top w:w="30" w:type="dxa"/>
              <w:bottom w:w="30" w:type="dxa"/>
              <w:left w:w="70" w:type="dxa"/>
              <w:right w:w="7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Cash-cow healthcare FCF directed 100% to BTC</w:t>
            </w:r>
          </w:p>
        </w:tc>
      </w:tr>
    </w:tbl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10.0 </w:t>
      </w:r>
      <w:r>
        <w:rPr>
          <w:rFonts w:ascii="Arial" w:hAnsi="Arial"/>
          <w:b/>
          <w:color w:val="0F172A"/>
          <w:sz w:val="21"/>
        </w:rPr>
        <w:t>Risk Stress-Testing &amp; Rebuttal to Short-Seller Counter-Theses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The 'Unwind' Risk (mNAV Discount Regime): </w:t>
      </w:r>
      <w:r>
        <w:rPr>
          <w:rFonts w:ascii="Calibri" w:hAnsi="Calibri"/>
          <w:color w:val="1E293B"/>
          <w:sz w:val="19"/>
        </w:rPr>
        <w:t>If market sentiment forces corporate equities to trade at a sustained discount (mNAV &lt; 1.0x), the ATM flywheel pauses, as share issuance would be dilutive to BTC per share. However, this creates a natural arbitrage: management can pivot to share buybacks or debt repurchases at a discount, or activist investors can enforce asset-backing realizations. Historical trading indicates mNAV discounts are brief, mean-reverting anomalies.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Extended Bear Market Solvency Stress Test: </w:t>
      </w:r>
      <w:r>
        <w:rPr>
          <w:rFonts w:ascii="Calibri" w:hAnsi="Calibri"/>
          <w:color w:val="1E293B"/>
          <w:sz w:val="19"/>
        </w:rPr>
        <w:t>A stress simulation of a 3-year winter (BTC stagnating at $35,000) demonstrates zero solvency risk. MicroStrategy’s debt maturities are laddered between 2027 and 2032 with an aggregate annual interest cost under $40M, easily serviced by software operations. The zero margin-call covenants ensure zero liquidation contagion.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Rebutting the Kerrisdale Pair-Trade Thesis: </w:t>
      </w:r>
      <w:r>
        <w:rPr>
          <w:rFonts w:ascii="Calibri" w:hAnsi="Calibri"/>
          <w:color w:val="1E293B"/>
          <w:sz w:val="19"/>
        </w:rPr>
        <w:t>Short sellers (e.g., Kerrisdale Capital) advocate a 'Long BTC ETF / Short MSTR' pair trade, arguing the mNAV premium will collapse. This thesis has fatal flaws: (1) Negative Carry: High borrow fees and option skew bleed short sellers continuously; (2) Ignoring BTC Yield: As MSTR issues shares at a premium, its intrinsic Bitcoin per share rises programmatically, lifting baseline book value even in flat markets; (3) Gamma Squeeze Exposure: High retail and call option volume regularly triggers explosive gamma squeezes, forcing structural short covering.</w:t>
      </w:r>
    </w:p>
    <w:p>
      <w:pPr>
        <w:keepNext/>
        <w:spacing w:before="140" w:after="40"/>
      </w:pPr>
      <w:r>
        <w:rPr>
          <w:rFonts w:ascii="Arial" w:hAnsi="Arial"/>
          <w:b/>
          <w:color w:val="B45309"/>
          <w:sz w:val="21"/>
        </w:rPr>
        <w:t xml:space="preserve">11.0 </w:t>
      </w:r>
      <w:r>
        <w:rPr>
          <w:rFonts w:ascii="Arial" w:hAnsi="Arial"/>
          <w:b/>
          <w:color w:val="0F172A"/>
          <w:sz w:val="21"/>
        </w:rPr>
        <w:t>Indian Regulatory Architecture &amp; 4-Year Return Scenarios (INR 21 Lakh Capital)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Tax Arbitrage via LRS Route: </w:t>
      </w:r>
      <w:r>
        <w:rPr>
          <w:rFonts w:ascii="Calibri" w:hAnsi="Calibri"/>
          <w:color w:val="1E293B"/>
          <w:sz w:val="19"/>
        </w:rPr>
        <w:t>Deploying capital via INDmoney under the RBI Liberalised Remittance Scheme (LRS) offers decisive tax advantages over domestic cryptocurrency investing. Under Indian tax law, direct cryptocurrency gains face a punitive 30% flat tax + 1% TDS, with zero set-off of capital losses allowed. In contrast, US equities and ADRs are classified as unlisted foreign assets: holding beyond 24 months qualifies for Long-Term Capital Gains (LTCG) taxed at a favorable 12.5% (Finance Act amendments), with full capability to offset losses against other capital gains.</w:t>
      </w:r>
    </w:p>
    <w:p>
      <w:pPr>
        <w:spacing w:before="0" w:after="56" w:line="276" w:lineRule="auto"/>
      </w:pPr>
      <w:r>
        <w:rPr>
          <w:rFonts w:ascii="Calibri" w:hAnsi="Calibri"/>
          <w:b/>
          <w:color w:val="0F172A"/>
          <w:sz w:val="19"/>
        </w:rPr>
        <w:t xml:space="preserve">TCS Exemption Architecture (0% TCS across all 4 Years): </w:t>
      </w:r>
      <w:r>
        <w:rPr>
          <w:rFonts w:ascii="Calibri" w:hAnsi="Calibri"/>
          <w:color w:val="1E293B"/>
          <w:sz w:val="19"/>
        </w:rPr>
        <w:t>The RBI LRS establishes a ₹7,00,000 annual threshold before Tax Collected at Source (TCS) applies. Because Mahim Patel's capital deployment schedule is staged at ₹6,00,000 in Year 1 (₹3.5L seed + ₹2.5L top-up) and ₹5,00,000 per year across Years 2, 3, and 4, remittances remain strictly below the ₹7,00,000 ceiling in every single financial year. This results in 0% TCS across all tranches, eliminating cash-flow lockup. Furthermore, the 3%–4% annual depreciation of the Indian Rupee against the US Dollar provides an automatic structural currency return booster.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2592"/>
            <w:shd w:val="clear" w:color="auto" w:fill="0F172A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Macro Scenario (2026–2030)</w:t>
            </w:r>
          </w:p>
        </w:tc>
        <w:tc>
          <w:tcPr>
            <w:tcW w:type="dxa" w:w="1584"/>
            <w:shd w:val="clear" w:color="auto" w:fill="0F172A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Spot BTC Price</w:t>
            </w:r>
          </w:p>
        </w:tc>
        <w:tc>
          <w:tcPr>
            <w:tcW w:type="dxa" w:w="1584"/>
            <w:shd w:val="clear" w:color="auto" w:fill="0F172A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Target mNAV Multiple</w:t>
            </w:r>
          </w:p>
        </w:tc>
        <w:tc>
          <w:tcPr>
            <w:tcW w:type="dxa" w:w="1728"/>
            <w:shd w:val="clear" w:color="auto" w:fill="0F172A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Terminal Portfolio (INR)</w:t>
            </w:r>
          </w:p>
        </w:tc>
        <w:tc>
          <w:tcPr>
            <w:tcW w:type="dxa" w:w="1584"/>
            <w:shd w:val="clear" w:color="auto" w:fill="0F172A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MOIC (Multiple)</w:t>
            </w:r>
          </w:p>
        </w:tc>
        <w:tc>
          <w:tcPr>
            <w:tcW w:type="dxa" w:w="1440"/>
            <w:shd w:val="clear" w:color="auto" w:fill="0F172A"/>
            <w:tcMar>
              <w:top w:w="45" w:type="dxa"/>
              <w:bottom w:w="45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5"/>
              </w:rPr>
              <w:t>Strategy XIRR (%)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Bear Case (Macro Stagnation)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$75,000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1.15x mNAV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29,74,000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1.42x MOIC</w:t>
            </w:r>
          </w:p>
        </w:tc>
        <w:tc>
          <w:tcPr>
            <w:tcW w:type="dxa" w:w="1440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14.0% XIRR</w:t>
            </w:r>
          </w:p>
        </w:tc>
      </w:tr>
      <w:tr>
        <w:tc>
          <w:tcPr>
            <w:tcW w:type="dxa" w:w="2592"/>
            <w:shd w:val="clear" w:color="auto" w:fill="F8FAFC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Base Case (Institutional Maturation)</w:t>
            </w:r>
          </w:p>
        </w:tc>
        <w:tc>
          <w:tcPr>
            <w:tcW w:type="dxa" w:w="1584"/>
            <w:shd w:val="clear" w:color="auto" w:fill="F8FAFC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$185,000</w:t>
            </w:r>
          </w:p>
        </w:tc>
        <w:tc>
          <w:tcPr>
            <w:tcW w:type="dxa" w:w="1584"/>
            <w:shd w:val="clear" w:color="auto" w:fill="F8FAFC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1.65x mNAV</w:t>
            </w:r>
          </w:p>
        </w:tc>
        <w:tc>
          <w:tcPr>
            <w:tcW w:type="dxa" w:w="1728"/>
            <w:shd w:val="clear" w:color="auto" w:fill="F8FAFC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59,53,000</w:t>
            </w:r>
          </w:p>
        </w:tc>
        <w:tc>
          <w:tcPr>
            <w:tcW w:type="dxa" w:w="1584"/>
            <w:shd w:val="clear" w:color="auto" w:fill="F8FAFC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2.83x MOIC</w:t>
            </w:r>
          </w:p>
        </w:tc>
        <w:tc>
          <w:tcPr>
            <w:tcW w:type="dxa" w:w="1440"/>
            <w:shd w:val="clear" w:color="auto" w:fill="F8FAFC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45.0% XIRR</w:t>
            </w:r>
          </w:p>
        </w:tc>
      </w:tr>
      <w:tr>
        <w:tc>
          <w:tcPr>
            <w:tcW w:type="dxa" w:w="2592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Bull Case (Sovereign Adoption / Hyper-Beta)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$380,000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1E293B"/>
                <w:sz w:val="15"/>
              </w:rPr>
              <w:t>2.35x mNAV</w:t>
            </w:r>
          </w:p>
        </w:tc>
        <w:tc>
          <w:tcPr>
            <w:tcW w:type="dxa" w:w="1728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INR 1,07,13,000</w:t>
            </w:r>
          </w:p>
        </w:tc>
        <w:tc>
          <w:tcPr>
            <w:tcW w:type="dxa" w:w="1584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5.10x MOIC</w:t>
            </w:r>
          </w:p>
        </w:tc>
        <w:tc>
          <w:tcPr>
            <w:tcW w:type="dxa" w:w="1440"/>
            <w:shd w:val="clear" w:color="auto" w:fill="FFFFFF"/>
            <w:tcMar>
              <w:top w:w="30" w:type="dxa"/>
              <w:bottom w:w="30" w:type="dxa"/>
              <w:left w:w="60" w:type="dxa"/>
              <w:right w:w="6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F172A"/>
                <w:sz w:val="15"/>
              </w:rPr>
              <w:t>75.0% XIRR</w:t>
            </w:r>
          </w:p>
        </w:tc>
      </w:tr>
    </w:tbl>
    <w:p>
      <w:pPr>
        <w:spacing w:before="0" w:after="120" w:line="276" w:lineRule="auto"/>
      </w:pPr>
      <w:r>
        <w:rPr>
          <w:rFonts w:ascii="Calibri" w:hAnsi="Calibri"/>
          <w:b/>
          <w:color w:val="0F172A"/>
          <w:sz w:val="19"/>
        </w:rPr>
        <w:t xml:space="preserve">Action Protocol &amp; Execution Summary: </w:t>
      </w:r>
      <w:r>
        <w:rPr>
          <w:rFonts w:ascii="Calibri" w:hAnsi="Calibri"/>
          <w:color w:val="1E293B"/>
          <w:sz w:val="19"/>
        </w:rPr>
        <w:t>Execution Protocol for Staged Capital: (1) Year 1: Deploy remaining INR 2,50,000 top-up into whichever of the three basket constituents currently displays the lowest rolling 1-year mNAV percentile (targeting &lt;=15th percentile); (2) Years 2–4: Execute scheduled INR 5,00,000 annual tranches during cyclical consolidation windows; (3) If any constituent expands beyond the 85th percentile mNAV (&gt;2.50x), rebalance gains into lagging constituents or cash reserves. In the Base Case, the cumulative INR 21,00,000 capital compounds to INR 59,53,000 (a net profit of INR 38.53 Lakhs / 45.0% XIRR). In the Bull Case, the portfolio reaches INR 1.07 Crore (a 5.10x return / 75.0% XIRR), demonstrating the power of disciplined corporate alpha.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