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0" w:name="bls-international-services-limited"/>
    <w:p>
      <w:pPr>
        <w:pStyle w:val="Heading1"/>
      </w:pPr>
      <w:r>
        <w:t xml:space="preserve">BLS INTERNATIONAL SERVICES LIMITED</w:t>
      </w:r>
    </w:p>
    <w:bookmarkStart w:id="10" w:name="X011ba692d273258eb6f364606f8401ce21adb37"/>
    <w:p>
      <w:pPr>
        <w:pStyle w:val="Heading2"/>
      </w:pPr>
      <w:r>
        <w:t xml:space="preserve">Institutional Equity Research — Initiation of Coverage</w:t>
      </w:r>
    </w:p>
    <w:bookmarkStart w:id="9" w:name="X32b7e3eade718a67fdddc5adfd4b24501f4fc87"/>
    <w:p>
      <w:pPr>
        <w:pStyle w:val="Heading3"/>
      </w:pPr>
      <w:r>
        <w:t xml:space="preserve">Ticker: NSE: BLS | BSE: 540073 | Bloomberg: BLS:IN | Reuters: BLSN.BO</w:t>
      </w:r>
    </w:p>
    <w:p>
      <w:pPr>
        <w:pStyle w:val="FirstParagraph"/>
      </w:pPr>
      <w:r>
        <w:rPr>
          <w:b/>
          <w:bCs/>
        </w:rPr>
        <w:t xml:space="preserve">Sector:</w:t>
      </w:r>
      <w:r>
        <w:t xml:space="preserve"> </w:t>
      </w:r>
      <w:r>
        <w:t xml:space="preserve">Tech-Enabled B2G Outsourcing &amp; Global Mobility Services</w:t>
      </w:r>
      <w:r>
        <w:br/>
      </w:r>
      <w:r>
        <w:rPr>
          <w:b/>
          <w:bCs/>
        </w:rPr>
        <w:t xml:space="preserve">Date:</w:t>
      </w:r>
      <w:r>
        <w:t xml:space="preserve"> </w:t>
      </w:r>
      <w:r>
        <w:t xml:space="preserve">October 2026 |</w:t>
      </w:r>
      <w:r>
        <w:t xml:space="preserve"> </w:t>
      </w:r>
      <w:r>
        <w:rPr>
          <w:b/>
          <w:bCs/>
        </w:rPr>
        <w:t xml:space="preserve">Lead Research Analyst:</w:t>
      </w:r>
      <w:r>
        <w:t xml:space="preserve"> </w:t>
      </w:r>
      <w:r>
        <w:t xml:space="preserve">Mahim</w:t>
      </w:r>
    </w:p>
    <w:p>
      <w:r>
        <w:pict>
          <v:rect style="width:0;height:1.5pt" o:hralign="center" o:hrstd="t" o:hr="t"/>
        </w:pict>
      </w:r>
    </w:p>
    <w:bookmarkEnd w:id="9"/>
    <w:bookmarkEnd w:id="10"/>
    <w:bookmarkStart w:id="11" w:name="section"/>
    <w:p>
      <w:pPr>
        <w:pStyle w:val="Heading2"/>
      </w:pPr>
      <w:r>
        <w:t xml:space="preserve">═══════════════════════════════════════════════════════════════</w:t>
      </w:r>
    </w:p>
    <w:bookmarkEnd w:id="11"/>
    <w:bookmarkStart w:id="12" w:name="executive-snapshot-tear-sheet"/>
    <w:p>
      <w:pPr>
        <w:pStyle w:val="Heading2"/>
      </w:pPr>
      <w:r>
        <w:t xml:space="preserve">EXECUTIVE SNAPSHOT &amp; TEAR SHEET</w:t>
      </w:r>
    </w:p>
    <w:bookmarkEnd w:id="12"/>
    <w:bookmarkStart w:id="15" w:name="section-1"/>
    <w:p>
      <w:pPr>
        <w:pStyle w:val="Heading2"/>
      </w:pPr>
      <w:r>
        <w:t xml:space="preserve">═══════════════════════════════════════════════════════════════</w:t>
      </w:r>
    </w:p>
    <w:p>
      <w:pPr>
        <w:pStyle w:val="SourceCode"/>
      </w:pPr>
      <w:r>
        <w:rPr>
          <w:rStyle w:val="VerbatimChar"/>
        </w:rPr>
        <w:t xml:space="preserve">┌─────────────────────────────────────────────────────────────────────────────┐</w:t>
      </w:r>
      <w:r>
        <w:br/>
      </w:r>
      <w:r>
        <w:rPr>
          <w:rStyle w:val="VerbatimChar"/>
        </w:rPr>
        <w:t xml:space="preserve">│ INSTITUTIONAL RECOMMENDATION:   BUY (HIGH CONVICTION)                       │</w:t>
      </w:r>
      <w:r>
        <w:br/>
      </w:r>
      <w:r>
        <w:rPr>
          <w:rStyle w:val="VerbatimChar"/>
        </w:rPr>
        <w:t xml:space="preserve">│ 12-MONTH SOTP TARGET PRICE:     ₹375.00                                     │</w:t>
      </w:r>
      <w:r>
        <w:br/>
      </w:r>
      <w:r>
        <w:rPr>
          <w:rStyle w:val="VerbatimChar"/>
        </w:rPr>
        <w:t xml:space="preserve">│ CURRENT MARKET PRICE (CMP):     ₹224.00                                     │</w:t>
      </w:r>
      <w:r>
        <w:br/>
      </w:r>
      <w:r>
        <w:rPr>
          <w:rStyle w:val="VerbatimChar"/>
        </w:rPr>
        <w:t xml:space="preserve">│ IMPLIED 12-MONTH UPSIDE:        +67.4%                                      │</w:t>
      </w:r>
      <w:r>
        <w:br/>
      </w:r>
      <w:r>
        <w:rPr>
          <w:rStyle w:val="VerbatimChar"/>
        </w:rPr>
        <w:t xml:space="preserve">│ RISK PROFILE:                   Medium (Government Contract Concentration)  │</w:t>
      </w:r>
      <w:r>
        <w:br/>
      </w:r>
      <w:r>
        <w:rPr>
          <w:rStyle w:val="VerbatimChar"/>
        </w:rPr>
        <w:t xml:space="preserve">│ CONVICTION LEVEL:               High                                        │</w:t>
      </w:r>
      <w:r>
        <w:br/>
      </w:r>
      <w:r>
        <w:rPr>
          <w:rStyle w:val="VerbatimChar"/>
        </w:rPr>
        <w:t xml:space="preserve">└─────────────────────────────────────────────────────────────────────────────┘</w:t>
      </w:r>
    </w:p>
    <w:bookmarkStart w:id="13" w:name="X4e96a0dc279c0f902d1f6ffe06868fb009e2c50"/>
    <w:p>
      <w:pPr>
        <w:pStyle w:val="Heading3"/>
      </w:pPr>
      <w:r>
        <w:t xml:space="preserve">Market Data &amp; Capital Structure (October 2026)</w:t>
      </w:r>
    </w:p>
    <w:p>
      <w:pPr>
        <w:pStyle w:val="Compact"/>
        <w:numPr>
          <w:ilvl w:val="0"/>
          <w:numId w:val="1001"/>
        </w:numPr>
      </w:pPr>
      <w:r>
        <w:rPr>
          <w:b/>
          <w:bCs/>
        </w:rPr>
        <w:t xml:space="preserve">Current Market Price (CMP):</w:t>
      </w:r>
      <w:r>
        <w:t xml:space="preserve"> </w:t>
      </w:r>
      <w:r>
        <w:t xml:space="preserve">₹224.00</w:t>
      </w:r>
    </w:p>
    <w:p>
      <w:pPr>
        <w:pStyle w:val="Compact"/>
        <w:numPr>
          <w:ilvl w:val="0"/>
          <w:numId w:val="1001"/>
        </w:numPr>
      </w:pPr>
      <w:r>
        <w:rPr>
          <w:b/>
          <w:bCs/>
        </w:rPr>
        <w:t xml:space="preserve">Market Capitalisation:</w:t>
      </w:r>
      <w:r>
        <w:t xml:space="preserve"> </w:t>
      </w:r>
      <w:r>
        <w:t xml:space="preserve">₹9,228 Crore (~$1.11 Billion)</w:t>
      </w:r>
    </w:p>
    <w:p>
      <w:pPr>
        <w:pStyle w:val="Compact"/>
        <w:numPr>
          <w:ilvl w:val="0"/>
          <w:numId w:val="1001"/>
        </w:numPr>
      </w:pPr>
      <w:r>
        <w:rPr>
          <w:b/>
          <w:bCs/>
        </w:rPr>
        <w:t xml:space="preserve">Enterprise Value (EV):</w:t>
      </w:r>
      <w:r>
        <w:t xml:space="preserve"> </w:t>
      </w:r>
      <w:r>
        <w:t xml:space="preserve">₹7,611 Crore (Net Cash Positive)</w:t>
      </w:r>
    </w:p>
    <w:p>
      <w:pPr>
        <w:pStyle w:val="Compact"/>
        <w:numPr>
          <w:ilvl w:val="0"/>
          <w:numId w:val="1001"/>
        </w:numPr>
      </w:pPr>
      <w:r>
        <w:rPr>
          <w:b/>
          <w:bCs/>
        </w:rPr>
        <w:t xml:space="preserve">52-Week High / Low:</w:t>
      </w:r>
      <w:r>
        <w:t xml:space="preserve"> </w:t>
      </w:r>
      <w:r>
        <w:t xml:space="preserve">₹359.00 / ₹212.00</w:t>
      </w:r>
    </w:p>
    <w:p>
      <w:pPr>
        <w:pStyle w:val="Compact"/>
        <w:numPr>
          <w:ilvl w:val="0"/>
          <w:numId w:val="1001"/>
        </w:numPr>
      </w:pPr>
      <w:r>
        <w:rPr>
          <w:b/>
          <w:bCs/>
        </w:rPr>
        <w:t xml:space="preserve">Shares Outstanding:</w:t>
      </w:r>
      <w:r>
        <w:t xml:space="preserve"> </w:t>
      </w:r>
      <w:r>
        <w:t xml:space="preserve">41.18 Crore (411.8 Million shares)</w:t>
      </w:r>
    </w:p>
    <w:p>
      <w:pPr>
        <w:pStyle w:val="Compact"/>
        <w:numPr>
          <w:ilvl w:val="0"/>
          <w:numId w:val="1001"/>
        </w:numPr>
      </w:pPr>
      <w:r>
        <w:rPr>
          <w:b/>
          <w:bCs/>
        </w:rPr>
        <w:t xml:space="preserve">Promoter Holding:</w:t>
      </w:r>
      <w:r>
        <w:t xml:space="preserve"> </w:t>
      </w:r>
      <w:r>
        <w:t xml:space="preserve">70.39% (No shares pledged)</w:t>
      </w:r>
    </w:p>
    <w:p>
      <w:pPr>
        <w:pStyle w:val="Compact"/>
        <w:numPr>
          <w:ilvl w:val="0"/>
          <w:numId w:val="1001"/>
        </w:numPr>
      </w:pPr>
      <w:r>
        <w:rPr>
          <w:b/>
          <w:bCs/>
        </w:rPr>
        <w:t xml:space="preserve">FII / DII Institutional Holding:</w:t>
      </w:r>
      <w:r>
        <w:t xml:space="preserve"> </w:t>
      </w:r>
      <w:r>
        <w:t xml:space="preserve">8.53% / 2.87%</w:t>
      </w:r>
    </w:p>
    <w:p>
      <w:pPr>
        <w:pStyle w:val="Compact"/>
        <w:numPr>
          <w:ilvl w:val="0"/>
          <w:numId w:val="1001"/>
        </w:numPr>
      </w:pPr>
      <w:r>
        <w:rPr>
          <w:b/>
          <w:bCs/>
        </w:rPr>
        <w:t xml:space="preserve">Net Cash &amp; Liquid Investments:</w:t>
      </w:r>
      <w:r>
        <w:t xml:space="preserve"> </w:t>
      </w:r>
      <w:r>
        <w:t xml:space="preserve">₹1,617 Crore (~₹39.3 per share, 17.5% of Market Cap)</w:t>
      </w:r>
    </w:p>
    <w:p>
      <w:pPr>
        <w:pStyle w:val="Compact"/>
        <w:numPr>
          <w:ilvl w:val="0"/>
          <w:numId w:val="1001"/>
        </w:numPr>
      </w:pPr>
      <w:r>
        <w:rPr>
          <w:b/>
          <w:bCs/>
        </w:rPr>
        <w:t xml:space="preserve">Return on Capital Employed (ROCE):</w:t>
      </w:r>
      <w:r>
        <w:t xml:space="preserve"> </w:t>
      </w:r>
      <w:r>
        <w:t xml:space="preserve">29.8% (FY26)</w:t>
      </w:r>
    </w:p>
    <w:p>
      <w:pPr>
        <w:pStyle w:val="Compact"/>
        <w:numPr>
          <w:ilvl w:val="0"/>
          <w:numId w:val="1001"/>
        </w:numPr>
      </w:pPr>
      <w:r>
        <w:rPr>
          <w:b/>
          <w:bCs/>
        </w:rPr>
        <w:t xml:space="preserve">Return on Equity (ROE):</w:t>
      </w:r>
      <w:r>
        <w:t xml:space="preserve"> </w:t>
      </w:r>
      <w:r>
        <w:t xml:space="preserve">32.1% (FY26)</w:t>
      </w:r>
    </w:p>
    <w:bookmarkEnd w:id="13"/>
    <w:bookmarkStart w:id="14" w:name="X9fb8b2ece6306cc3f001f07bde5aba3b4ff3825"/>
    <w:p>
      <w:pPr>
        <w:pStyle w:val="Heading3"/>
      </w:pPr>
      <w:r>
        <w:t xml:space="preserve">Consolidated Financial Summary &amp; Projections (₹ Crore)</w:t>
      </w:r>
    </w:p>
    <w:tbl>
      <w:tblPr>
        <w:tblStyle w:val="Table"/>
        <w:tblW w:type="pct" w:w="5000"/>
        <w:tblLayout w:type="fixed"/>
        <w:tblLook w:firstRow="1" w:lastRow="0" w:firstColumn="0" w:lastColumn="0" w:noHBand="0" w:noVBand="0" w:val="0020"/>
      </w:tblPr>
      <w:tblGrid>
        <w:gridCol w:w="931"/>
        <w:gridCol w:w="1164"/>
        <w:gridCol w:w="1164"/>
        <w:gridCol w:w="1164"/>
        <w:gridCol w:w="1164"/>
        <w:gridCol w:w="1164"/>
        <w:gridCol w:w="1164"/>
      </w:tblGrid>
      <w:tr>
        <w:trPr>
          <w:tblHeader w:val="on"/>
        </w:trPr>
        <w:tc>
          <w:tcPr/>
          <w:p>
            <w:pPr>
              <w:pStyle w:val="Compact"/>
              <w:jc w:val="left"/>
            </w:pPr>
            <w:r>
              <w:t xml:space="preserve">Financial Metric</w:t>
            </w:r>
          </w:p>
        </w:tc>
        <w:tc>
          <w:tcPr/>
          <w:p>
            <w:pPr>
              <w:pStyle w:val="Compact"/>
              <w:jc w:val="center"/>
            </w:pPr>
            <w:r>
              <w:t xml:space="preserve">FY24A</w:t>
            </w:r>
          </w:p>
        </w:tc>
        <w:tc>
          <w:tcPr/>
          <w:p>
            <w:pPr>
              <w:pStyle w:val="Compact"/>
              <w:jc w:val="center"/>
            </w:pPr>
            <w:r>
              <w:t xml:space="preserve">FY25A</w:t>
            </w:r>
          </w:p>
        </w:tc>
        <w:tc>
          <w:tcPr/>
          <w:p>
            <w:pPr>
              <w:pStyle w:val="Compact"/>
              <w:jc w:val="center"/>
            </w:pPr>
            <w:r>
              <w:t xml:space="preserve">FY26A</w:t>
            </w:r>
          </w:p>
        </w:tc>
        <w:tc>
          <w:tcPr/>
          <w:p>
            <w:pPr>
              <w:pStyle w:val="Compact"/>
              <w:jc w:val="center"/>
            </w:pPr>
            <w:r>
              <w:t xml:space="preserve">FY27E</w:t>
            </w:r>
          </w:p>
        </w:tc>
        <w:tc>
          <w:tcPr/>
          <w:p>
            <w:pPr>
              <w:pStyle w:val="Compact"/>
              <w:jc w:val="center"/>
            </w:pPr>
            <w:r>
              <w:t xml:space="preserve">FY28E</w:t>
            </w:r>
          </w:p>
        </w:tc>
        <w:tc>
          <w:tcPr/>
          <w:p>
            <w:pPr>
              <w:pStyle w:val="Compact"/>
              <w:jc w:val="center"/>
            </w:pPr>
            <w:r>
              <w:t xml:space="preserve">CAGR (FY26–28E)</w:t>
            </w:r>
          </w:p>
        </w:tc>
      </w:tr>
      <w:tr>
        <w:tc>
          <w:tcPr/>
          <w:p>
            <w:pPr>
              <w:pStyle w:val="Compact"/>
              <w:jc w:val="left"/>
            </w:pPr>
            <w:r>
              <w:rPr>
                <w:b/>
                <w:bCs/>
              </w:rPr>
              <w:t xml:space="preserve">Revenue from Operations</w:t>
            </w:r>
          </w:p>
        </w:tc>
        <w:tc>
          <w:tcPr/>
          <w:p>
            <w:pPr>
              <w:pStyle w:val="Compact"/>
              <w:jc w:val="center"/>
            </w:pPr>
            <w:r>
              <w:t xml:space="preserve">1,690.2</w:t>
            </w:r>
          </w:p>
        </w:tc>
        <w:tc>
          <w:tcPr/>
          <w:p>
            <w:pPr>
              <w:pStyle w:val="Compact"/>
              <w:jc w:val="center"/>
            </w:pPr>
            <w:r>
              <w:t xml:space="preserve">2,193.3</w:t>
            </w:r>
          </w:p>
        </w:tc>
        <w:tc>
          <w:tcPr/>
          <w:p>
            <w:pPr>
              <w:pStyle w:val="Compact"/>
              <w:jc w:val="center"/>
            </w:pPr>
            <w:r>
              <w:t xml:space="preserve">2,998.0</w:t>
            </w:r>
          </w:p>
        </w:tc>
        <w:tc>
          <w:tcPr/>
          <w:p>
            <w:pPr>
              <w:pStyle w:val="Compact"/>
              <w:jc w:val="center"/>
            </w:pPr>
            <w:r>
              <w:t xml:space="preserve">3,710.0</w:t>
            </w:r>
          </w:p>
        </w:tc>
        <w:tc>
          <w:tcPr/>
          <w:p>
            <w:pPr>
              <w:pStyle w:val="Compact"/>
              <w:jc w:val="center"/>
            </w:pPr>
            <w:r>
              <w:t xml:space="preserve">4,520.0</w:t>
            </w:r>
          </w:p>
        </w:tc>
        <w:tc>
          <w:tcPr/>
          <w:p>
            <w:pPr>
              <w:pStyle w:val="Compact"/>
              <w:jc w:val="center"/>
            </w:pPr>
            <w:r>
              <w:t xml:space="preserve">+22.8%</w:t>
            </w:r>
          </w:p>
        </w:tc>
      </w:tr>
      <w:tr>
        <w:tc>
          <w:tcPr/>
          <w:p>
            <w:pPr>
              <w:pStyle w:val="Compact"/>
              <w:jc w:val="left"/>
            </w:pPr>
            <w:r>
              <w:rPr>
                <w:b/>
                <w:bCs/>
              </w:rPr>
              <w:t xml:space="preserve">Cost of Services Rendered</w:t>
            </w:r>
          </w:p>
        </w:tc>
        <w:tc>
          <w:tcPr/>
          <w:p>
            <w:pPr>
              <w:pStyle w:val="Compact"/>
              <w:jc w:val="center"/>
            </w:pPr>
            <w:r>
              <w:t xml:space="preserve">800.5</w:t>
            </w:r>
          </w:p>
        </w:tc>
        <w:tc>
          <w:tcPr/>
          <w:p>
            <w:pPr>
              <w:pStyle w:val="Compact"/>
              <w:jc w:val="center"/>
            </w:pPr>
            <w:r>
              <w:t xml:space="preserve">1,104.7</w:t>
            </w:r>
          </w:p>
        </w:tc>
        <w:tc>
          <w:tcPr/>
          <w:p>
            <w:pPr>
              <w:pStyle w:val="Compact"/>
              <w:jc w:val="center"/>
            </w:pPr>
            <w:r>
              <w:t xml:space="preserve">1,541.8</w:t>
            </w:r>
          </w:p>
        </w:tc>
        <w:tc>
          <w:tcPr/>
          <w:p>
            <w:pPr>
              <w:pStyle w:val="Compact"/>
              <w:jc w:val="center"/>
            </w:pPr>
            <w:r>
              <w:t xml:space="preserve">1,830.2</w:t>
            </w:r>
          </w:p>
        </w:tc>
        <w:tc>
          <w:tcPr/>
          <w:p>
            <w:pPr>
              <w:pStyle w:val="Compact"/>
              <w:jc w:val="center"/>
            </w:pPr>
            <w:r>
              <w:t xml:space="preserve">2,108.0</w:t>
            </w:r>
          </w:p>
        </w:tc>
        <w:tc>
          <w:tcPr/>
          <w:p>
            <w:pPr>
              <w:pStyle w:val="Compact"/>
              <w:jc w:val="center"/>
            </w:pPr>
            <w:r>
              <w:t xml:space="preserve">+16.9%</w:t>
            </w:r>
          </w:p>
        </w:tc>
      </w:tr>
      <w:tr>
        <w:tc>
          <w:tcPr/>
          <w:p>
            <w:pPr>
              <w:pStyle w:val="Compact"/>
              <w:jc w:val="left"/>
            </w:pPr>
            <w:r>
              <w:rPr>
                <w:b/>
                <w:bCs/>
              </w:rPr>
              <w:t xml:space="preserve">Gross Profit (Net Revenue)</w:t>
            </w:r>
          </w:p>
        </w:tc>
        <w:tc>
          <w:tcPr/>
          <w:p>
            <w:pPr>
              <w:pStyle w:val="Compact"/>
              <w:jc w:val="center"/>
            </w:pPr>
            <w:r>
              <w:t xml:space="preserve">889.7</w:t>
            </w:r>
          </w:p>
        </w:tc>
        <w:tc>
          <w:tcPr/>
          <w:p>
            <w:pPr>
              <w:pStyle w:val="Compact"/>
              <w:jc w:val="center"/>
            </w:pPr>
            <w:r>
              <w:t xml:space="preserve">1,088.6</w:t>
            </w:r>
          </w:p>
        </w:tc>
        <w:tc>
          <w:tcPr/>
          <w:p>
            <w:pPr>
              <w:pStyle w:val="Compact"/>
              <w:jc w:val="center"/>
            </w:pPr>
            <w:r>
              <w:t xml:space="preserve">1,456.2</w:t>
            </w:r>
          </w:p>
        </w:tc>
        <w:tc>
          <w:tcPr/>
          <w:p>
            <w:pPr>
              <w:pStyle w:val="Compact"/>
              <w:jc w:val="center"/>
            </w:pPr>
            <w:r>
              <w:t xml:space="preserve">1,879.8</w:t>
            </w:r>
          </w:p>
        </w:tc>
        <w:tc>
          <w:tcPr/>
          <w:p>
            <w:pPr>
              <w:pStyle w:val="Compact"/>
              <w:jc w:val="center"/>
            </w:pPr>
            <w:r>
              <w:t xml:space="preserve">2,412.0</w:t>
            </w:r>
          </w:p>
        </w:tc>
        <w:tc>
          <w:tcPr/>
          <w:p>
            <w:pPr>
              <w:pStyle w:val="Compact"/>
              <w:jc w:val="center"/>
            </w:pPr>
            <w:r>
              <w:t xml:space="preserve">+28.7%</w:t>
            </w:r>
          </w:p>
        </w:tc>
      </w:tr>
      <w:tr>
        <w:tc>
          <w:tcPr/>
          <w:p>
            <w:pPr>
              <w:pStyle w:val="Compact"/>
              <w:jc w:val="left"/>
            </w:pPr>
            <w:r>
              <w:rPr>
                <w:b/>
                <w:bCs/>
              </w:rPr>
              <w:t xml:space="preserve">EBITDA</w:t>
            </w:r>
          </w:p>
        </w:tc>
        <w:tc>
          <w:tcPr/>
          <w:p>
            <w:pPr>
              <w:pStyle w:val="Compact"/>
              <w:jc w:val="center"/>
            </w:pPr>
            <w:r>
              <w:t xml:space="preserve">473.5</w:t>
            </w:r>
          </w:p>
        </w:tc>
        <w:tc>
          <w:tcPr/>
          <w:p>
            <w:pPr>
              <w:pStyle w:val="Compact"/>
              <w:jc w:val="center"/>
            </w:pPr>
            <w:r>
              <w:t xml:space="preserve">628.0</w:t>
            </w:r>
          </w:p>
        </w:tc>
        <w:tc>
          <w:tcPr/>
          <w:p>
            <w:pPr>
              <w:pStyle w:val="Compact"/>
              <w:jc w:val="center"/>
            </w:pPr>
            <w:r>
              <w:t xml:space="preserve">819.0</w:t>
            </w:r>
          </w:p>
        </w:tc>
        <w:tc>
          <w:tcPr/>
          <w:p>
            <w:pPr>
              <w:pStyle w:val="Compact"/>
              <w:jc w:val="center"/>
            </w:pPr>
            <w:r>
              <w:t xml:space="preserve">1,010.0</w:t>
            </w:r>
          </w:p>
        </w:tc>
        <w:tc>
          <w:tcPr/>
          <w:p>
            <w:pPr>
              <w:pStyle w:val="Compact"/>
              <w:jc w:val="center"/>
            </w:pPr>
            <w:r>
              <w:t xml:space="preserve">1,250.0</w:t>
            </w:r>
          </w:p>
        </w:tc>
        <w:tc>
          <w:tcPr/>
          <w:p>
            <w:pPr>
              <w:pStyle w:val="Compact"/>
              <w:jc w:val="center"/>
            </w:pPr>
            <w:r>
              <w:t xml:space="preserve">+23.5%</w:t>
            </w:r>
          </w:p>
        </w:tc>
      </w:tr>
      <w:tr>
        <w:tc>
          <w:tcPr/>
          <w:p>
            <w:pPr>
              <w:pStyle w:val="Compact"/>
              <w:jc w:val="left"/>
            </w:pPr>
            <w:r>
              <w:rPr>
                <w:b/>
                <w:bCs/>
              </w:rPr>
              <w:t xml:space="preserve">EBITDA Margin (%)</w:t>
            </w:r>
          </w:p>
        </w:tc>
        <w:tc>
          <w:tcPr/>
          <w:p>
            <w:pPr>
              <w:pStyle w:val="Compact"/>
              <w:jc w:val="center"/>
            </w:pPr>
            <w:r>
              <w:t xml:space="preserve">28.0%</w:t>
            </w:r>
          </w:p>
        </w:tc>
        <w:tc>
          <w:tcPr/>
          <w:p>
            <w:pPr>
              <w:pStyle w:val="Compact"/>
              <w:jc w:val="center"/>
            </w:pPr>
            <w:r>
              <w:t xml:space="preserve">28.7%</w:t>
            </w:r>
          </w:p>
        </w:tc>
        <w:tc>
          <w:tcPr/>
          <w:p>
            <w:pPr>
              <w:pStyle w:val="Compact"/>
              <w:jc w:val="center"/>
            </w:pPr>
            <w:r>
              <w:t xml:space="preserve">27.3%</w:t>
            </w:r>
          </w:p>
        </w:tc>
        <w:tc>
          <w:tcPr/>
          <w:p>
            <w:pPr>
              <w:pStyle w:val="Compact"/>
              <w:jc w:val="center"/>
            </w:pPr>
            <w:r>
              <w:t xml:space="preserve">27.2%</w:t>
            </w:r>
          </w:p>
        </w:tc>
        <w:tc>
          <w:tcPr/>
          <w:p>
            <w:pPr>
              <w:pStyle w:val="Compact"/>
              <w:jc w:val="center"/>
            </w:pPr>
            <w:r>
              <w:t xml:space="preserve">27.7%</w:t>
            </w:r>
          </w:p>
        </w:tc>
        <w:tc>
          <w:tcPr/>
          <w:p>
            <w:pPr>
              <w:pStyle w:val="Compact"/>
              <w:jc w:val="center"/>
            </w:pPr>
            <w:r>
              <w:t xml:space="preserve">—</w:t>
            </w:r>
          </w:p>
        </w:tc>
      </w:tr>
      <w:tr>
        <w:tc>
          <w:tcPr/>
          <w:p>
            <w:pPr>
              <w:pStyle w:val="Compact"/>
              <w:jc w:val="left"/>
            </w:pPr>
            <w:r>
              <w:rPr>
                <w:b/>
                <w:bCs/>
              </w:rPr>
              <w:t xml:space="preserve">Depreciation &amp; Amortisation</w:t>
            </w:r>
          </w:p>
        </w:tc>
        <w:tc>
          <w:tcPr/>
          <w:p>
            <w:pPr>
              <w:pStyle w:val="Compact"/>
              <w:jc w:val="center"/>
            </w:pPr>
            <w:r>
              <w:t xml:space="preserve">36.2</w:t>
            </w:r>
          </w:p>
        </w:tc>
        <w:tc>
          <w:tcPr/>
          <w:p>
            <w:pPr>
              <w:pStyle w:val="Compact"/>
              <w:jc w:val="center"/>
            </w:pPr>
            <w:r>
              <w:t xml:space="preserve">45.0</w:t>
            </w:r>
          </w:p>
        </w:tc>
        <w:tc>
          <w:tcPr/>
          <w:p>
            <w:pPr>
              <w:pStyle w:val="Compact"/>
              <w:jc w:val="center"/>
            </w:pPr>
            <w:r>
              <w:t xml:space="preserve">58.4</w:t>
            </w:r>
          </w:p>
        </w:tc>
        <w:tc>
          <w:tcPr/>
          <w:p>
            <w:pPr>
              <w:pStyle w:val="Compact"/>
              <w:jc w:val="center"/>
            </w:pPr>
            <w:r>
              <w:t xml:space="preserve">72.0</w:t>
            </w:r>
          </w:p>
        </w:tc>
        <w:tc>
          <w:tcPr/>
          <w:p>
            <w:pPr>
              <w:pStyle w:val="Compact"/>
              <w:jc w:val="center"/>
            </w:pPr>
            <w:r>
              <w:t xml:space="preserve">85.0</w:t>
            </w:r>
          </w:p>
        </w:tc>
        <w:tc>
          <w:tcPr/>
          <w:p>
            <w:pPr>
              <w:pStyle w:val="Compact"/>
              <w:jc w:val="center"/>
            </w:pPr>
            <w:r>
              <w:t xml:space="preserve">+20.6%</w:t>
            </w:r>
          </w:p>
        </w:tc>
      </w:tr>
      <w:tr>
        <w:tc>
          <w:tcPr/>
          <w:p>
            <w:pPr>
              <w:pStyle w:val="Compact"/>
              <w:jc w:val="left"/>
            </w:pPr>
            <w:r>
              <w:rPr>
                <w:b/>
                <w:bCs/>
              </w:rPr>
              <w:t xml:space="preserve">EBIT (Operating Profit)</w:t>
            </w:r>
          </w:p>
        </w:tc>
        <w:tc>
          <w:tcPr/>
          <w:p>
            <w:pPr>
              <w:pStyle w:val="Compact"/>
              <w:jc w:val="center"/>
            </w:pPr>
            <w:r>
              <w:t xml:space="preserve">437.3</w:t>
            </w:r>
          </w:p>
        </w:tc>
        <w:tc>
          <w:tcPr/>
          <w:p>
            <w:pPr>
              <w:pStyle w:val="Compact"/>
              <w:jc w:val="center"/>
            </w:pPr>
            <w:r>
              <w:t xml:space="preserve">583.0</w:t>
            </w:r>
          </w:p>
        </w:tc>
        <w:tc>
          <w:tcPr/>
          <w:p>
            <w:pPr>
              <w:pStyle w:val="Compact"/>
              <w:jc w:val="center"/>
            </w:pPr>
            <w:r>
              <w:t xml:space="preserve">760.6</w:t>
            </w:r>
          </w:p>
        </w:tc>
        <w:tc>
          <w:tcPr/>
          <w:p>
            <w:pPr>
              <w:pStyle w:val="Compact"/>
              <w:jc w:val="center"/>
            </w:pPr>
            <w:r>
              <w:t xml:space="preserve">938.0</w:t>
            </w:r>
          </w:p>
        </w:tc>
        <w:tc>
          <w:tcPr/>
          <w:p>
            <w:pPr>
              <w:pStyle w:val="Compact"/>
              <w:jc w:val="center"/>
            </w:pPr>
            <w:r>
              <w:t xml:space="preserve">1,165.0</w:t>
            </w:r>
          </w:p>
        </w:tc>
        <w:tc>
          <w:tcPr/>
          <w:p>
            <w:pPr>
              <w:pStyle w:val="Compact"/>
              <w:jc w:val="center"/>
            </w:pPr>
            <w:r>
              <w:t xml:space="preserve">+23.8%</w:t>
            </w:r>
          </w:p>
        </w:tc>
      </w:tr>
      <w:tr>
        <w:tc>
          <w:tcPr/>
          <w:p>
            <w:pPr>
              <w:pStyle w:val="Compact"/>
              <w:jc w:val="left"/>
            </w:pPr>
            <w:r>
              <w:rPr>
                <w:b/>
                <w:bCs/>
              </w:rPr>
              <w:t xml:space="preserve">Other Treasury Income</w:t>
            </w:r>
          </w:p>
        </w:tc>
        <w:tc>
          <w:tcPr/>
          <w:p>
            <w:pPr>
              <w:pStyle w:val="Compact"/>
              <w:jc w:val="center"/>
            </w:pPr>
            <w:r>
              <w:t xml:space="preserve">45.0</w:t>
            </w:r>
          </w:p>
        </w:tc>
        <w:tc>
          <w:tcPr/>
          <w:p>
            <w:pPr>
              <w:pStyle w:val="Compact"/>
              <w:jc w:val="center"/>
            </w:pPr>
            <w:r>
              <w:t xml:space="preserve">75.0</w:t>
            </w:r>
          </w:p>
        </w:tc>
        <w:tc>
          <w:tcPr/>
          <w:p>
            <w:pPr>
              <w:pStyle w:val="Compact"/>
              <w:jc w:val="center"/>
            </w:pPr>
            <w:r>
              <w:t xml:space="preserve">118.0</w:t>
            </w:r>
          </w:p>
        </w:tc>
        <w:tc>
          <w:tcPr/>
          <w:p>
            <w:pPr>
              <w:pStyle w:val="Compact"/>
              <w:jc w:val="center"/>
            </w:pPr>
            <w:r>
              <w:t xml:space="preserve">145.0</w:t>
            </w:r>
          </w:p>
        </w:tc>
        <w:tc>
          <w:tcPr/>
          <w:p>
            <w:pPr>
              <w:pStyle w:val="Compact"/>
              <w:jc w:val="center"/>
            </w:pPr>
            <w:r>
              <w:t xml:space="preserve">175.0</w:t>
            </w:r>
          </w:p>
        </w:tc>
        <w:tc>
          <w:tcPr/>
          <w:p>
            <w:pPr>
              <w:pStyle w:val="Compact"/>
              <w:jc w:val="center"/>
            </w:pPr>
            <w:r>
              <w:t xml:space="preserve">+21.8%</w:t>
            </w:r>
          </w:p>
        </w:tc>
      </w:tr>
      <w:tr>
        <w:tc>
          <w:tcPr/>
          <w:p>
            <w:pPr>
              <w:pStyle w:val="Compact"/>
              <w:jc w:val="left"/>
            </w:pPr>
            <w:r>
              <w:rPr>
                <w:b/>
                <w:bCs/>
              </w:rPr>
              <w:t xml:space="preserve">Profit Before Tax (PBT)</w:t>
            </w:r>
          </w:p>
        </w:tc>
        <w:tc>
          <w:tcPr/>
          <w:p>
            <w:pPr>
              <w:pStyle w:val="Compact"/>
              <w:jc w:val="center"/>
            </w:pPr>
            <w:r>
              <w:t xml:space="preserve">469.8</w:t>
            </w:r>
          </w:p>
        </w:tc>
        <w:tc>
          <w:tcPr/>
          <w:p>
            <w:pPr>
              <w:pStyle w:val="Compact"/>
              <w:jc w:val="center"/>
            </w:pPr>
            <w:r>
              <w:t xml:space="preserve">642.8</w:t>
            </w:r>
          </w:p>
        </w:tc>
        <w:tc>
          <w:tcPr/>
          <w:p>
            <w:pPr>
              <w:pStyle w:val="Compact"/>
              <w:jc w:val="center"/>
            </w:pPr>
            <w:r>
              <w:t xml:space="preserve">860.6</w:t>
            </w:r>
          </w:p>
        </w:tc>
        <w:tc>
          <w:tcPr/>
          <w:p>
            <w:pPr>
              <w:pStyle w:val="Compact"/>
              <w:jc w:val="center"/>
            </w:pPr>
            <w:r>
              <w:t xml:space="preserve">1,067.0</w:t>
            </w:r>
          </w:p>
        </w:tc>
        <w:tc>
          <w:tcPr/>
          <w:p>
            <w:pPr>
              <w:pStyle w:val="Compact"/>
              <w:jc w:val="center"/>
            </w:pPr>
            <w:r>
              <w:t xml:space="preserve">1,325.0</w:t>
            </w:r>
          </w:p>
        </w:tc>
        <w:tc>
          <w:tcPr/>
          <w:p>
            <w:pPr>
              <w:pStyle w:val="Compact"/>
              <w:jc w:val="center"/>
            </w:pPr>
            <w:r>
              <w:t xml:space="preserve">+24.1%</w:t>
            </w:r>
          </w:p>
        </w:tc>
      </w:tr>
      <w:tr>
        <w:tc>
          <w:tcPr/>
          <w:p>
            <w:pPr>
              <w:pStyle w:val="Compact"/>
              <w:jc w:val="left"/>
            </w:pPr>
            <w:r>
              <w:rPr>
                <w:b/>
                <w:bCs/>
              </w:rPr>
              <w:t xml:space="preserve">Tax Expense</w:t>
            </w:r>
          </w:p>
        </w:tc>
        <w:tc>
          <w:tcPr/>
          <w:p>
            <w:pPr>
              <w:pStyle w:val="Compact"/>
              <w:jc w:val="center"/>
            </w:pPr>
            <w:r>
              <w:t xml:space="preserve">88.5</w:t>
            </w:r>
          </w:p>
        </w:tc>
        <w:tc>
          <w:tcPr/>
          <w:p>
            <w:pPr>
              <w:pStyle w:val="Compact"/>
              <w:jc w:val="center"/>
            </w:pPr>
            <w:r>
              <w:t xml:space="preserve">103.2</w:t>
            </w:r>
          </w:p>
        </w:tc>
        <w:tc>
          <w:tcPr/>
          <w:p>
            <w:pPr>
              <w:pStyle w:val="Compact"/>
              <w:jc w:val="center"/>
            </w:pPr>
            <w:r>
              <w:t xml:space="preserve">136.6</w:t>
            </w:r>
          </w:p>
        </w:tc>
        <w:tc>
          <w:tcPr/>
          <w:p>
            <w:pPr>
              <w:pStyle w:val="Compact"/>
              <w:jc w:val="center"/>
            </w:pPr>
            <w:r>
              <w:t xml:space="preserve">202.0</w:t>
            </w:r>
          </w:p>
        </w:tc>
        <w:tc>
          <w:tcPr/>
          <w:p>
            <w:pPr>
              <w:pStyle w:val="Compact"/>
              <w:jc w:val="center"/>
            </w:pPr>
            <w:r>
              <w:t xml:space="preserve">255.0</w:t>
            </w:r>
          </w:p>
        </w:tc>
        <w:tc>
          <w:tcPr/>
          <w:p>
            <w:pPr>
              <w:pStyle w:val="Compact"/>
              <w:jc w:val="center"/>
            </w:pPr>
            <w:r>
              <w:t xml:space="preserve">+36.6%</w:t>
            </w:r>
          </w:p>
        </w:tc>
      </w:tr>
      <w:tr>
        <w:tc>
          <w:tcPr/>
          <w:p>
            <w:pPr>
              <w:pStyle w:val="Compact"/>
              <w:jc w:val="left"/>
            </w:pPr>
            <w:r>
              <w:rPr>
                <w:b/>
                <w:bCs/>
              </w:rPr>
              <w:t xml:space="preserve">Profit After Tax (PAT)</w:t>
            </w:r>
          </w:p>
        </w:tc>
        <w:tc>
          <w:tcPr/>
          <w:p>
            <w:pPr>
              <w:pStyle w:val="Compact"/>
              <w:jc w:val="center"/>
            </w:pPr>
            <w:r>
              <w:t xml:space="preserve">381.3</w:t>
            </w:r>
          </w:p>
        </w:tc>
        <w:tc>
          <w:tcPr/>
          <w:p>
            <w:pPr>
              <w:pStyle w:val="Compact"/>
              <w:jc w:val="center"/>
            </w:pPr>
            <w:r>
              <w:t xml:space="preserve">539.6</w:t>
            </w:r>
          </w:p>
        </w:tc>
        <w:tc>
          <w:tcPr/>
          <w:p>
            <w:pPr>
              <w:pStyle w:val="Compact"/>
              <w:jc w:val="center"/>
            </w:pPr>
            <w:r>
              <w:t xml:space="preserve">724.0</w:t>
            </w:r>
          </w:p>
        </w:tc>
        <w:tc>
          <w:tcPr/>
          <w:p>
            <w:pPr>
              <w:pStyle w:val="Compact"/>
              <w:jc w:val="center"/>
            </w:pPr>
            <w:r>
              <w:t xml:space="preserve">865.0</w:t>
            </w:r>
          </w:p>
        </w:tc>
        <w:tc>
          <w:tcPr/>
          <w:p>
            <w:pPr>
              <w:pStyle w:val="Compact"/>
              <w:jc w:val="center"/>
            </w:pPr>
            <w:r>
              <w:t xml:space="preserve">1,070.0</w:t>
            </w:r>
          </w:p>
        </w:tc>
        <w:tc>
          <w:tcPr/>
          <w:p>
            <w:pPr>
              <w:pStyle w:val="Compact"/>
              <w:jc w:val="center"/>
            </w:pPr>
            <w:r>
              <w:t xml:space="preserve">+21.6%</w:t>
            </w:r>
          </w:p>
        </w:tc>
      </w:tr>
      <w:tr>
        <w:tc>
          <w:tcPr/>
          <w:p>
            <w:pPr>
              <w:pStyle w:val="Compact"/>
              <w:jc w:val="left"/>
            </w:pPr>
            <w:r>
              <w:rPr>
                <w:b/>
                <w:bCs/>
              </w:rPr>
              <w:t xml:space="preserve">Diluted EPS (₹)</w:t>
            </w:r>
          </w:p>
        </w:tc>
        <w:tc>
          <w:tcPr/>
          <w:p>
            <w:pPr>
              <w:pStyle w:val="Compact"/>
              <w:jc w:val="center"/>
            </w:pPr>
            <w:r>
              <w:t xml:space="preserve">9.26</w:t>
            </w:r>
          </w:p>
        </w:tc>
        <w:tc>
          <w:tcPr/>
          <w:p>
            <w:pPr>
              <w:pStyle w:val="Compact"/>
              <w:jc w:val="center"/>
            </w:pPr>
            <w:r>
              <w:t xml:space="preserve">13.10</w:t>
            </w:r>
          </w:p>
        </w:tc>
        <w:tc>
          <w:tcPr/>
          <w:p>
            <w:pPr>
              <w:pStyle w:val="Compact"/>
              <w:jc w:val="center"/>
            </w:pPr>
            <w:r>
              <w:t xml:space="preserve">17.58</w:t>
            </w:r>
          </w:p>
        </w:tc>
        <w:tc>
          <w:tcPr/>
          <w:p>
            <w:pPr>
              <w:pStyle w:val="Compact"/>
              <w:jc w:val="center"/>
            </w:pPr>
            <w:r>
              <w:t xml:space="preserve">21.01</w:t>
            </w:r>
          </w:p>
        </w:tc>
        <w:tc>
          <w:tcPr/>
          <w:p>
            <w:pPr>
              <w:pStyle w:val="Compact"/>
              <w:jc w:val="center"/>
            </w:pPr>
            <w:r>
              <w:t xml:space="preserve">25.98</w:t>
            </w:r>
          </w:p>
        </w:tc>
        <w:tc>
          <w:tcPr/>
          <w:p>
            <w:pPr>
              <w:pStyle w:val="Compact"/>
              <w:jc w:val="center"/>
            </w:pPr>
            <w:r>
              <w:t xml:space="preserve">+21.6%</w:t>
            </w:r>
          </w:p>
        </w:tc>
      </w:tr>
      <w:tr>
        <w:tc>
          <w:tcPr/>
          <w:p>
            <w:pPr>
              <w:pStyle w:val="Compact"/>
              <w:jc w:val="left"/>
            </w:pPr>
            <w:r>
              <w:rPr>
                <w:b/>
                <w:bCs/>
              </w:rPr>
              <w:t xml:space="preserve">EV / EBITDA Multiple (x)</w:t>
            </w:r>
          </w:p>
        </w:tc>
        <w:tc>
          <w:tcPr/>
          <w:p>
            <w:pPr>
              <w:pStyle w:val="Compact"/>
              <w:jc w:val="center"/>
            </w:pPr>
            <w:r>
              <w:t xml:space="preserve">16.0x</w:t>
            </w:r>
          </w:p>
        </w:tc>
        <w:tc>
          <w:tcPr/>
          <w:p>
            <w:pPr>
              <w:pStyle w:val="Compact"/>
              <w:jc w:val="center"/>
            </w:pPr>
            <w:r>
              <w:t xml:space="preserve">12.1x</w:t>
            </w:r>
          </w:p>
        </w:tc>
        <w:tc>
          <w:tcPr/>
          <w:p>
            <w:pPr>
              <w:pStyle w:val="Compact"/>
              <w:jc w:val="center"/>
            </w:pPr>
            <w:r>
              <w:t xml:space="preserve">9.3x</w:t>
            </w:r>
          </w:p>
        </w:tc>
        <w:tc>
          <w:tcPr/>
          <w:p>
            <w:pPr>
              <w:pStyle w:val="Compact"/>
              <w:jc w:val="center"/>
            </w:pPr>
            <w:r>
              <w:t xml:space="preserve">7.5x</w:t>
            </w:r>
          </w:p>
        </w:tc>
        <w:tc>
          <w:tcPr/>
          <w:p>
            <w:pPr>
              <w:pStyle w:val="Compact"/>
              <w:jc w:val="center"/>
            </w:pPr>
            <w:r>
              <w:t xml:space="preserve">6.1x</w:t>
            </w:r>
          </w:p>
        </w:tc>
        <w:tc>
          <w:tcPr/>
          <w:p>
            <w:pPr>
              <w:pStyle w:val="Compact"/>
              <w:jc w:val="center"/>
            </w:pPr>
            <w:r>
              <w:t xml:space="preserve">—</w:t>
            </w:r>
          </w:p>
        </w:tc>
      </w:tr>
      <w:tr>
        <w:tc>
          <w:tcPr/>
          <w:p>
            <w:pPr>
              <w:pStyle w:val="Compact"/>
              <w:jc w:val="left"/>
            </w:pPr>
            <w:r>
              <w:rPr>
                <w:b/>
                <w:bCs/>
              </w:rPr>
              <w:t xml:space="preserve">Price / Earnings Multiple (x)</w:t>
            </w:r>
          </w:p>
        </w:tc>
        <w:tc>
          <w:tcPr/>
          <w:p>
            <w:pPr>
              <w:pStyle w:val="Compact"/>
              <w:jc w:val="center"/>
            </w:pPr>
            <w:r>
              <w:t xml:space="preserve">24.2x</w:t>
            </w:r>
          </w:p>
        </w:tc>
        <w:tc>
          <w:tcPr/>
          <w:p>
            <w:pPr>
              <w:pStyle w:val="Compact"/>
              <w:jc w:val="center"/>
            </w:pPr>
            <w:r>
              <w:t xml:space="preserve">17.1x</w:t>
            </w:r>
          </w:p>
        </w:tc>
        <w:tc>
          <w:tcPr/>
          <w:p>
            <w:pPr>
              <w:pStyle w:val="Compact"/>
              <w:jc w:val="center"/>
            </w:pPr>
            <w:r>
              <w:t xml:space="preserve">12.7x</w:t>
            </w:r>
          </w:p>
        </w:tc>
        <w:tc>
          <w:tcPr/>
          <w:p>
            <w:pPr>
              <w:pStyle w:val="Compact"/>
              <w:jc w:val="center"/>
            </w:pPr>
            <w:r>
              <w:t xml:space="preserve">10.7x</w:t>
            </w:r>
          </w:p>
        </w:tc>
        <w:tc>
          <w:tcPr/>
          <w:p>
            <w:pPr>
              <w:pStyle w:val="Compact"/>
              <w:jc w:val="center"/>
            </w:pPr>
            <w:r>
              <w:t xml:space="preserve">8.6x</w:t>
            </w:r>
          </w:p>
        </w:tc>
        <w:tc>
          <w:tcPr/>
          <w:p>
            <w:pPr>
              <w:pStyle w:val="Compact"/>
              <w:jc w:val="center"/>
            </w:pPr>
            <w:r>
              <w:t xml:space="preserve">—</w:t>
            </w:r>
          </w:p>
        </w:tc>
      </w:tr>
    </w:tbl>
    <w:p>
      <w:r>
        <w:pict>
          <v:rect style="width:0;height:1.5pt" o:hralign="center" o:hrstd="t" o:hr="t"/>
        </w:pict>
      </w:r>
    </w:p>
    <w:bookmarkEnd w:id="14"/>
    <w:bookmarkEnd w:id="15"/>
    <w:bookmarkStart w:id="16" w:name="section-2"/>
    <w:p>
      <w:pPr>
        <w:pStyle w:val="Heading2"/>
      </w:pPr>
      <w:r>
        <w:t xml:space="preserve">═══════════════════════════════════════════════════════════════</w:t>
      </w:r>
    </w:p>
    <w:bookmarkEnd w:id="16"/>
    <w:bookmarkStart w:id="17" w:name="X9de30957fca34d75fd47df1a3b21f50b8ec9b1f"/>
    <w:p>
      <w:pPr>
        <w:pStyle w:val="Heading2"/>
      </w:pPr>
      <w:r>
        <w:t xml:space="preserve">CORE INVESTMENT THESIS: FOUR NON-OBVIOUS SELL-SIDE PILLARS</w:t>
      </w:r>
    </w:p>
    <w:bookmarkEnd w:id="17"/>
    <w:bookmarkStart w:id="22" w:name="section-3"/>
    <w:p>
      <w:pPr>
        <w:pStyle w:val="Heading2"/>
      </w:pPr>
      <w:r>
        <w:t xml:space="preserve">═══════════════════════════════════════════════════════════════</w:t>
      </w:r>
    </w:p>
    <w:bookmarkStart w:id="18" w:name="Xc5948f5e0bebe6e401c0ea24144c0217ce8f8e6"/>
    <w:p>
      <w:pPr>
        <w:pStyle w:val="Heading3"/>
      </w:pPr>
      <w:r>
        <w:t xml:space="preserve">1. The Global Visa Oligopoly &amp; Listing Scarcity Premium</w:t>
      </w:r>
    </w:p>
    <w:p>
      <w:pPr>
        <w:pStyle w:val="FirstParagraph"/>
      </w:pPr>
      <w:r>
        <w:t xml:space="preserve">BLS International is the</w:t>
      </w:r>
      <w:r>
        <w:t xml:space="preserve"> </w:t>
      </w:r>
      <w:r>
        <w:rPr>
          <w:b/>
          <w:bCs/>
        </w:rPr>
        <w:t xml:space="preserve">sole publicly listed pure-play visa outsourcing firm globally</w:t>
      </w:r>
      <w:r>
        <w:t xml:space="preserve">. Its primary global competitors—VFS Global (&gt;50% market share, acquired by Blackstone and ADIA) and TLScontact (subsidiary of Paris-listed Teleperformance SE)—are privately held or buried within diversified conglomerates. In private market sponsor transactions, pure-play sovereign concessionaires command multiples between 18.0x and 22.0x EV/EBITDA. BLS’s 15% global market share in mission-critical B2G administrative processing warrants an institutional listing scarcity premium, rather than the small/mid-cap holding discount algorithmic screeners currently assign it.</w:t>
      </w:r>
    </w:p>
    <w:bookmarkEnd w:id="18"/>
    <w:bookmarkStart w:id="19" w:name="Xf73090bc1d254768fa23b8605afc163824db0ca"/>
    <w:p>
      <w:pPr>
        <w:pStyle w:val="Heading3"/>
      </w:pPr>
      <w:r>
        <w:t xml:space="preserve">2. Market Overreaction to MEA Dispute Creates Generational Entry Point</w:t>
      </w:r>
    </w:p>
    <w:p>
      <w:pPr>
        <w:pStyle w:val="FirstParagraph"/>
      </w:pPr>
      <w:r>
        <w:t xml:space="preserve">Between October 2025 and July 2026, market panic surrounding the Indian Ministry of External Affairs (MEA) 2-year debarment order (completely quashed by the Delhi High Court in December 2025) and the subsequent loss of the UAE Indian consular mandate destroyed over</w:t>
      </w:r>
      <w:r>
        <w:t xml:space="preserve"> </w:t>
      </w:r>
      <w:r>
        <w:rPr>
          <w:b/>
          <w:bCs/>
        </w:rPr>
        <w:t xml:space="preserve">₹5,500 Crore in market capitalisation</w:t>
      </w:r>
      <w:r>
        <w:t xml:space="preserve">. This sell-off is fundamentally irrational: sovereign Indian consular missions accounted for roughly ~12% of group revenue, with the UAE specifically contributing ₹55–65 Crore in annual PAT (~8% of group earnings). Capitalizing this entire earnings stream at a 15x multiple justifies a valuation haircut of ~₹975 Crore. The market over-penalized BLS by over ₹4,500 Crore, conflating a contested regional tender with structural enterprise impairment. Furthermore, the Supreme Court’s July 2026 order mandating a fresh, transparent procurement tender opens immediate re-entry optionality.</w:t>
      </w:r>
    </w:p>
    <w:bookmarkEnd w:id="19"/>
    <w:bookmarkStart w:id="20" w:name="Xc6d9d1498e3085dd6645f086d078426c83b9d27"/>
    <w:p>
      <w:pPr>
        <w:pStyle w:val="Heading3"/>
      </w:pPr>
      <w:r>
        <w:t xml:space="preserve">3. SOTP Mispricing: 40% EBITDA Concession Trophy Asset Priced at Staffing Multiples</w:t>
      </w:r>
    </w:p>
    <w:p>
      <w:pPr>
        <w:pStyle w:val="FirstParagraph"/>
      </w:pPr>
      <w:r>
        <w:t xml:space="preserve">Consolidated group margins (27.3% EBITDA) visually obfuscate the underlying earnings power of BLS’s two fundamentally distinct engines:</w:t>
      </w:r>
      <w:r>
        <w:t xml:space="preserve"> </w:t>
      </w:r>
      <w:r>
        <w:t xml:space="preserve">-</w:t>
      </w:r>
      <w:r>
        <w:t xml:space="preserve"> </w:t>
      </w:r>
      <w:r>
        <w:rPr>
          <w:b/>
          <w:bCs/>
        </w:rPr>
        <w:t xml:space="preserve">Visa &amp; Consular Services:</w:t>
      </w:r>
      <w:r>
        <w:t xml:space="preserve"> </w:t>
      </w:r>
      <w:r>
        <w:t xml:space="preserve">40.1% EBITDA margin in FY26 (₹738 Cr EBITDA), negative working capital, asset-light, multi-year sovereign exclusivity.</w:t>
      </w:r>
      <w:r>
        <w:t xml:space="preserve"> </w:t>
      </w:r>
      <w:r>
        <w:t xml:space="preserve">-</w:t>
      </w:r>
      <w:r>
        <w:t xml:space="preserve"> </w:t>
      </w:r>
      <w:r>
        <w:rPr>
          <w:b/>
          <w:bCs/>
        </w:rPr>
        <w:t xml:space="preserve">Digital Services (BLS E-Services):</w:t>
      </w:r>
      <w:r>
        <w:t xml:space="preserve"> </w:t>
      </w:r>
      <w:r>
        <w:t xml:space="preserve">7.0% EBITDA margin, rural Business Correspondent (BC) network.</w:t>
      </w:r>
      <w:r>
        <w:t xml:space="preserve"> </w:t>
      </w:r>
      <w:r>
        <w:t xml:space="preserve">By disaggregating the consolidated entity via Sum-of-the-Parts (SOTP), subtracting the liquid cash balance (₹39.3/share) and the publicly traded 51% equity stake in BLS E-Services (NSE: BLSE, worth ₹30.9/share post-15% HoldCo discount), the market assigns an implied multiple of just</w:t>
      </w:r>
      <w:r>
        <w:t xml:space="preserve"> </w:t>
      </w:r>
      <w:r>
        <w:rPr>
          <w:b/>
          <w:bCs/>
        </w:rPr>
        <w:t xml:space="preserve">7.2x FY27E EV/EBITDA</w:t>
      </w:r>
      <w:r>
        <w:t xml:space="preserve"> </w:t>
      </w:r>
      <w:r>
        <w:t xml:space="preserve">to the core Visa engine. This multiple is lower than commoditized Indian staffing contractors (Quess Corp at 7.3x, SIS at 8.3x) and represents a massive disconnect from regulated infrastructure platforms (CAMS at 23.5x, KFin at 27.3x).</w:t>
      </w:r>
    </w:p>
    <w:bookmarkEnd w:id="20"/>
    <w:bookmarkStart w:id="21" w:name="Xdb72fff5cb0d39fd47300bb01c5943b5112617e"/>
    <w:p>
      <w:pPr>
        <w:pStyle w:val="Heading3"/>
      </w:pPr>
      <w:r>
        <w:t xml:space="preserve">4. Structural Yield Expansion Engine: Net Revenue per Application Reaching ₹3,302</w:t>
      </w:r>
    </w:p>
    <w:p>
      <w:pPr>
        <w:pStyle w:val="FirstParagraph"/>
      </w:pPr>
      <w:r>
        <w:t xml:space="preserve">Consensus estimates mistakenly model BLS as a pure volume play tied to global passenger departures. In reality, BLS’s primary earnings engine is</w:t>
      </w:r>
      <w:r>
        <w:t xml:space="preserve"> </w:t>
      </w:r>
      <w:r>
        <w:rPr>
          <w:b/>
          <w:bCs/>
        </w:rPr>
        <w:t xml:space="preserve">Yield Expansion</w:t>
      </w:r>
      <w:r>
        <w:t xml:space="preserve">:</w:t>
      </w:r>
      <w:r>
        <w:t xml:space="preserve"> </w:t>
      </w:r>
      <w:r>
        <w:t xml:space="preserve">- Net Revenue per Application expanded from ₹2,100 in FY22 to ₹2,680 in FY24, and reached</w:t>
      </w:r>
      <w:r>
        <w:t xml:space="preserve"> </w:t>
      </w:r>
      <w:r>
        <w:rPr>
          <w:b/>
          <w:bCs/>
        </w:rPr>
        <w:t xml:space="preserve">₹3,302 in FY26 (+13.7% YoY)</w:t>
      </w:r>
      <w:r>
        <w:t xml:space="preserve">, compounding at 11.9% CAGR.</w:t>
      </w:r>
      <w:r>
        <w:t xml:space="preserve"> </w:t>
      </w:r>
      <w:r>
        <w:t xml:space="preserve">- Yield expansion is structurally driven by: (1) The phased conversion of Visa Application Centres (VACs) from partner-run franchises to company-owned, company-operated (COCO) facilities, eliminating 35% margin leakage; and (2) Monetization of high-margin Value-Added Services (VAS: door-to-door courier, VIP premium lounges, mobile biometrics, travel insurance, translation), where adoption rose from 22% in FY22 to 38% in FY26.</w:t>
      </w:r>
    </w:p>
    <w:p>
      <w:r>
        <w:pict>
          <v:rect style="width:0;height:1.5pt" o:hralign="center" o:hrstd="t" o:hr="t"/>
        </w:pict>
      </w:r>
    </w:p>
    <w:bookmarkEnd w:id="21"/>
    <w:bookmarkEnd w:id="22"/>
    <w:bookmarkStart w:id="23" w:name="section-4"/>
    <w:p>
      <w:pPr>
        <w:pStyle w:val="Heading2"/>
      </w:pPr>
      <w:r>
        <w:t xml:space="preserve">═══════════════════════════════════════════════════════════════</w:t>
      </w:r>
    </w:p>
    <w:bookmarkEnd w:id="23"/>
    <w:bookmarkStart w:id="24" w:name="X819ee3b17096a99d79b15d28d939a3a0f70a236"/>
    <w:p>
      <w:pPr>
        <w:pStyle w:val="Heading2"/>
      </w:pPr>
      <w:r>
        <w:t xml:space="preserve">SECTION 1: COMPANY OVERVIEW &amp; BUSINESS ARCHITECTURE</w:t>
      </w:r>
    </w:p>
    <w:bookmarkEnd w:id="24"/>
    <w:bookmarkStart w:id="29" w:name="section-5"/>
    <w:p>
      <w:pPr>
        <w:pStyle w:val="Heading2"/>
      </w:pPr>
      <w:r>
        <w:t xml:space="preserve">═══════════════════════════════════════════════════════════════</w:t>
      </w:r>
    </w:p>
    <w:bookmarkStart w:id="25" w:name="the-franchise-at-a-glance"/>
    <w:p>
      <w:pPr>
        <w:pStyle w:val="Heading3"/>
      </w:pPr>
      <w:r>
        <w:t xml:space="preserve">1.1 The Franchise at a Glance</w:t>
      </w:r>
    </w:p>
    <w:p>
      <w:pPr>
        <w:pStyle w:val="FirstParagraph"/>
      </w:pPr>
      <w:r>
        <w:t xml:space="preserve">BLS International Services Limited was established in 2005 and listed on the Indian bourses in 2016. The company acts as a technology-enabled government-to-citizen (G2C) and business-to-government (B2G) services partner. It manages non-discretionary, administrative, and technological processing tasks associated with visa applications, passport renewals, national ID issuance, biometric enrollment, and citizen verification.</w:t>
      </w:r>
    </w:p>
    <w:p>
      <w:pPr>
        <w:pStyle w:val="BodyText"/>
      </w:pPr>
      <w:r>
        <w:t xml:space="preserve">Across its 20-year operational history, BLS has expanded across</w:t>
      </w:r>
      <w:r>
        <w:t xml:space="preserve"> </w:t>
      </w:r>
      <w:r>
        <w:rPr>
          <w:b/>
          <w:bCs/>
        </w:rPr>
        <w:t xml:space="preserve">65+ countries</w:t>
      </w:r>
      <w:r>
        <w:t xml:space="preserve">, partnering with</w:t>
      </w:r>
      <w:r>
        <w:t xml:space="preserve"> </w:t>
      </w:r>
      <w:r>
        <w:rPr>
          <w:b/>
          <w:bCs/>
        </w:rPr>
        <w:t xml:space="preserve">46+ sovereign client governments</w:t>
      </w:r>
      <w:r>
        <w:t xml:space="preserve">, and processing more than</w:t>
      </w:r>
      <w:r>
        <w:t xml:space="preserve"> </w:t>
      </w:r>
      <w:r>
        <w:rPr>
          <w:b/>
          <w:bCs/>
        </w:rPr>
        <w:t xml:space="preserve">500 million citizen applications</w:t>
      </w:r>
      <w:r>
        <w:t xml:space="preserve">.</w:t>
      </w:r>
    </w:p>
    <w:bookmarkEnd w:id="25"/>
    <w:bookmarkStart w:id="28" w:name="the-two-operating-engines"/>
    <w:p>
      <w:pPr>
        <w:pStyle w:val="Heading3"/>
      </w:pPr>
      <w:r>
        <w:t xml:space="preserve">1.2 The Two Operating Engines</w:t>
      </w:r>
    </w:p>
    <w:bookmarkStart w:id="26" w:name="Xc8b0bfee88f9ecf69736f9c5dce83a3c6d92c84"/>
    <w:p>
      <w:pPr>
        <w:pStyle w:val="Heading4"/>
      </w:pPr>
      <w:r>
        <w:t xml:space="preserve">Engine 1: Visa &amp; Consular Services (High-Margin Concessionaire)</w:t>
      </w:r>
    </w:p>
    <w:p>
      <w:pPr>
        <w:pStyle w:val="Compact"/>
        <w:numPr>
          <w:ilvl w:val="0"/>
          <w:numId w:val="1002"/>
        </w:numPr>
      </w:pPr>
      <w:r>
        <w:rPr>
          <w:b/>
          <w:bCs/>
        </w:rPr>
        <w:t xml:space="preserve">FY26 Revenue:</w:t>
      </w:r>
      <w:r>
        <w:t xml:space="preserve"> </w:t>
      </w:r>
      <w:r>
        <w:t xml:space="preserve">₹1,840 Crore (+11.3% YoY) |</w:t>
      </w:r>
      <w:r>
        <w:t xml:space="preserve"> </w:t>
      </w:r>
      <w:r>
        <w:rPr>
          <w:b/>
          <w:bCs/>
        </w:rPr>
        <w:t xml:space="preserve">FY26 EBITDA:</w:t>
      </w:r>
      <w:r>
        <w:t xml:space="preserve"> </w:t>
      </w:r>
      <w:r>
        <w:t xml:space="preserve">₹738 Crore (40.1% Margin)</w:t>
      </w:r>
    </w:p>
    <w:p>
      <w:pPr>
        <w:pStyle w:val="Compact"/>
        <w:numPr>
          <w:ilvl w:val="0"/>
          <w:numId w:val="1002"/>
        </w:numPr>
      </w:pPr>
      <w:r>
        <w:rPr>
          <w:b/>
          <w:bCs/>
        </w:rPr>
        <w:t xml:space="preserve">Business Model:</w:t>
      </w:r>
      <w:r>
        <w:t xml:space="preserve"> </w:t>
      </w:r>
      <w:r>
        <w:t xml:space="preserve">BLS participates in competitive sovereign tenders. Upon winning, it receives exclusive 3-to-5 year concessions to operate physical Visa Application Centres (VACs) across specified geographic territories.</w:t>
      </w:r>
    </w:p>
    <w:p>
      <w:pPr>
        <w:pStyle w:val="Compact"/>
        <w:numPr>
          <w:ilvl w:val="0"/>
          <w:numId w:val="1002"/>
        </w:numPr>
      </w:pPr>
      <w:r>
        <w:rPr>
          <w:b/>
          <w:bCs/>
        </w:rPr>
        <w:t xml:space="preserve">Revenue Mechanics:</w:t>
      </w:r>
      <w:r>
        <w:t xml:space="preserve"> </w:t>
      </w:r>
      <w:r>
        <w:t xml:space="preserve">BLS collects statutory visa fees (remitted directly to client embassies) and retains an applicant service fee plus revenue from optional Value-Added Services.</w:t>
      </w:r>
    </w:p>
    <w:p>
      <w:pPr>
        <w:pStyle w:val="Compact"/>
        <w:numPr>
          <w:ilvl w:val="0"/>
          <w:numId w:val="1002"/>
        </w:numPr>
      </w:pPr>
      <w:r>
        <w:rPr>
          <w:b/>
          <w:bCs/>
        </w:rPr>
        <w:t xml:space="preserve">Reporting Spread:</w:t>
      </w:r>
      <w:r>
        <w:t xml:space="preserve"> </w:t>
      </w:r>
      <w:r>
        <w:t xml:space="preserve">BLS reports</w:t>
      </w:r>
      <w:r>
        <w:t xml:space="preserve"> </w:t>
      </w:r>
      <w:r>
        <w:t xml:space="preserve">“Net Revenue”</w:t>
      </w:r>
      <w:r>
        <w:t xml:space="preserve"> </w:t>
      </w:r>
      <w:r>
        <w:t xml:space="preserve">(Gross Revenue less direct pass-through consular fees), reflecting its true economic spread.</w:t>
      </w:r>
    </w:p>
    <w:p>
      <w:pPr>
        <w:pStyle w:val="Compact"/>
        <w:numPr>
          <w:ilvl w:val="0"/>
          <w:numId w:val="1002"/>
        </w:numPr>
      </w:pPr>
      <w:r>
        <w:rPr>
          <w:b/>
          <w:bCs/>
        </w:rPr>
        <w:t xml:space="preserve">Key Sovereign Clients:</w:t>
      </w:r>
      <w:r>
        <w:t xml:space="preserve"> </w:t>
      </w:r>
      <w:r>
        <w:t xml:space="preserve">Spain (flagship global concession covering 58+ countries), Germany, Italy, Hungary, Portugal, Canada, and various Schengen jurisdictions.</w:t>
      </w:r>
    </w:p>
    <w:bookmarkEnd w:id="26"/>
    <w:bookmarkStart w:id="27" w:name="X43d537d55d9c7e83a160f4346aa4f798998578f"/>
    <w:p>
      <w:pPr>
        <w:pStyle w:val="Heading4"/>
      </w:pPr>
      <w:r>
        <w:t xml:space="preserve">Engine 2: Digital Services via BLS E-Services (Listed 51% Subsidiary)</w:t>
      </w:r>
    </w:p>
    <w:p>
      <w:pPr>
        <w:pStyle w:val="Compact"/>
        <w:numPr>
          <w:ilvl w:val="0"/>
          <w:numId w:val="1003"/>
        </w:numPr>
      </w:pPr>
      <w:r>
        <w:rPr>
          <w:b/>
          <w:bCs/>
        </w:rPr>
        <w:t xml:space="preserve">FY26 Revenue:</w:t>
      </w:r>
      <w:r>
        <w:t xml:space="preserve"> </w:t>
      </w:r>
      <w:r>
        <w:t xml:space="preserve">₹1,158 Crore (+114.4% YoY) |</w:t>
      </w:r>
      <w:r>
        <w:t xml:space="preserve"> </w:t>
      </w:r>
      <w:r>
        <w:rPr>
          <w:b/>
          <w:bCs/>
        </w:rPr>
        <w:t xml:space="preserve">FY26 EBITDA:</w:t>
      </w:r>
      <w:r>
        <w:t xml:space="preserve"> </w:t>
      </w:r>
      <w:r>
        <w:t xml:space="preserve">₹81 Crore (7.0% Margin)</w:t>
      </w:r>
    </w:p>
    <w:p>
      <w:pPr>
        <w:pStyle w:val="Compact"/>
        <w:numPr>
          <w:ilvl w:val="0"/>
          <w:numId w:val="1003"/>
        </w:numPr>
      </w:pPr>
      <w:r>
        <w:rPr>
          <w:b/>
          <w:bCs/>
        </w:rPr>
        <w:t xml:space="preserve">Business Model:</w:t>
      </w:r>
      <w:r>
        <w:t xml:space="preserve"> </w:t>
      </w:r>
      <w:r>
        <w:t xml:space="preserve">BLS E-Services operates as a National Business Correspondent (BC) and Business Facilitator (BF) for State Bank of India (SBI) and other major public sector banks, delivering basic financial inclusion services (micro-remittances, account opening, AEPS cash withdrawals).</w:t>
      </w:r>
    </w:p>
    <w:p>
      <w:pPr>
        <w:pStyle w:val="Compact"/>
        <w:numPr>
          <w:ilvl w:val="0"/>
          <w:numId w:val="1003"/>
        </w:numPr>
      </w:pPr>
      <w:r>
        <w:rPr>
          <w:b/>
          <w:bCs/>
        </w:rPr>
        <w:t xml:space="preserve">Network Footprint:</w:t>
      </w:r>
      <w:r>
        <w:t xml:space="preserve"> </w:t>
      </w:r>
      <w:r>
        <w:t xml:space="preserve">Over 150,000 merchant touchpoints across semi-urban and rural India.</w:t>
      </w:r>
    </w:p>
    <w:p>
      <w:pPr>
        <w:pStyle w:val="Compact"/>
        <w:numPr>
          <w:ilvl w:val="0"/>
          <w:numId w:val="1003"/>
        </w:numPr>
      </w:pPr>
      <w:r>
        <w:rPr>
          <w:b/>
          <w:bCs/>
        </w:rPr>
        <w:t xml:space="preserve">M&amp;A Expansion:</w:t>
      </w:r>
      <w:r>
        <w:t xml:space="preserve"> </w:t>
      </w:r>
      <w:r>
        <w:t xml:space="preserve">Acquired</w:t>
      </w:r>
      <w:r>
        <w:t xml:space="preserve"> </w:t>
      </w:r>
      <w:r>
        <w:rPr>
          <w:i/>
          <w:iCs/>
        </w:rPr>
        <w:t xml:space="preserve">Aadifidelis Solutions</w:t>
      </w:r>
      <w:r>
        <w:t xml:space="preserve"> </w:t>
      </w:r>
      <w:r>
        <w:t xml:space="preserve">(ASPL) in FY25 to enter loan distribution and loan servicing, alongside</w:t>
      </w:r>
      <w:r>
        <w:t xml:space="preserve"> </w:t>
      </w:r>
      <w:r>
        <w:rPr>
          <w:i/>
          <w:iCs/>
        </w:rPr>
        <w:t xml:space="preserve">Starfin India</w:t>
      </w:r>
      <w:r>
        <w:t xml:space="preserve"> </w:t>
      </w:r>
      <w:r>
        <w:t xml:space="preserve">and</w:t>
      </w:r>
      <w:r>
        <w:t xml:space="preserve"> </w:t>
      </w:r>
      <w:r>
        <w:rPr>
          <w:i/>
          <w:iCs/>
        </w:rPr>
        <w:t xml:space="preserve">Zero Mass</w:t>
      </w:r>
      <w:r>
        <w:t xml:space="preserve">.</w:t>
      </w:r>
    </w:p>
    <w:p>
      <w:pPr>
        <w:pStyle w:val="Compact"/>
        <w:numPr>
          <w:ilvl w:val="0"/>
          <w:numId w:val="1003"/>
        </w:numPr>
      </w:pPr>
      <w:r>
        <w:rPr>
          <w:b/>
          <w:bCs/>
        </w:rPr>
        <w:t xml:space="preserve">Public Spin-Off:</w:t>
      </w:r>
      <w:r>
        <w:t xml:space="preserve"> </w:t>
      </w:r>
      <w:r>
        <w:t xml:space="preserve">BLS E-Services (NSE: BLSE) was spun out via an IPO in February 2024. BLS International retains a controlling 51% equity stake.</w:t>
      </w:r>
    </w:p>
    <w:p>
      <w:r>
        <w:pict>
          <v:rect style="width:0;height:1.5pt" o:hralign="center" o:hrstd="t" o:hr="t"/>
        </w:pict>
      </w:r>
    </w:p>
    <w:bookmarkEnd w:id="27"/>
    <w:bookmarkEnd w:id="28"/>
    <w:bookmarkEnd w:id="29"/>
    <w:bookmarkStart w:id="30" w:name="section-6"/>
    <w:p>
      <w:pPr>
        <w:pStyle w:val="Heading2"/>
      </w:pPr>
      <w:r>
        <w:t xml:space="preserve">═══════════════════════════════════════════════════════════════</w:t>
      </w:r>
    </w:p>
    <w:bookmarkEnd w:id="30"/>
    <w:bookmarkStart w:id="31" w:name="Xe0b8759d1a91e7cb517e30d55c6de907d35ab4d"/>
    <w:p>
      <w:pPr>
        <w:pStyle w:val="Heading2"/>
      </w:pPr>
      <w:r>
        <w:t xml:space="preserve">SECTION 2: GLOBAL VISA OUTSOURCING OLIGOPOLY &amp; STRUCTURAL MOATS</w:t>
      </w:r>
    </w:p>
    <w:bookmarkEnd w:id="31"/>
    <w:bookmarkStart w:id="34" w:name="section-7"/>
    <w:p>
      <w:pPr>
        <w:pStyle w:val="Heading2"/>
      </w:pPr>
      <w:r>
        <w:t xml:space="preserve">═══════════════════════════════════════════════════════════════</w:t>
      </w:r>
    </w:p>
    <w:bookmarkStart w:id="32" w:name="the-global-competitive-landscape"/>
    <w:p>
      <w:pPr>
        <w:pStyle w:val="Heading3"/>
      </w:pPr>
      <w:r>
        <w:t xml:space="preserve">2.1 The Global Competitive Landscape</w:t>
      </w:r>
    </w:p>
    <w:p>
      <w:pPr>
        <w:pStyle w:val="FirstParagraph"/>
      </w:pPr>
      <w:r>
        <w:t xml:space="preserve">The global visa application outsourcing market represents an addressable market size of approximately</w:t>
      </w:r>
      <w:r>
        <w:t xml:space="preserve"> </w:t>
      </w:r>
      <w:r>
        <w:rPr>
          <w:b/>
          <w:bCs/>
        </w:rPr>
        <w:t xml:space="preserve">$3.5 Billion</w:t>
      </w:r>
      <w:r>
        <w:t xml:space="preserve">, handling roughly 45% of total international visa applications. The remaining 55% of applications are processed directly by government consular sections in-house, representing a substantial long-term secular privatization runway.</w:t>
      </w:r>
    </w:p>
    <w:p>
      <w:pPr>
        <w:pStyle w:val="BodyText"/>
      </w:pPr>
      <w:r>
        <w:t xml:space="preserve">The commercial market is a highly consolidated oligopoly controlled by three global operators:</w:t>
      </w:r>
    </w:p>
    <w:tbl>
      <w:tblPr>
        <w:tblStyle w:val="Table"/>
        <w:tblW w:type="pct" w:w="5000"/>
        <w:tblLayout w:type="fixed"/>
        <w:tblLook w:firstRow="1" w:lastRow="0" w:firstColumn="0" w:lastColumn="0" w:noHBand="0" w:noVBand="0" w:val="0020"/>
      </w:tblPr>
      <w:tblGrid>
        <w:gridCol w:w="1508"/>
        <w:gridCol w:w="1508"/>
        <w:gridCol w:w="1885"/>
        <w:gridCol w:w="1508"/>
        <w:gridCol w:w="1508"/>
      </w:tblGrid>
      <w:tr>
        <w:trPr>
          <w:tblHeader w:val="on"/>
        </w:trPr>
        <w:tc>
          <w:tcPr/>
          <w:p>
            <w:pPr>
              <w:pStyle w:val="Compact"/>
              <w:jc w:val="left"/>
            </w:pPr>
            <w:r>
              <w:t xml:space="preserve">Market Competitor</w:t>
            </w:r>
          </w:p>
        </w:tc>
        <w:tc>
          <w:tcPr/>
          <w:p>
            <w:pPr>
              <w:pStyle w:val="Compact"/>
              <w:jc w:val="left"/>
            </w:pPr>
            <w:r>
              <w:t xml:space="preserve">Ownership / Domicile</w:t>
            </w:r>
          </w:p>
        </w:tc>
        <w:tc>
          <w:tcPr/>
          <w:p>
            <w:pPr>
              <w:pStyle w:val="Compact"/>
              <w:jc w:val="center"/>
            </w:pPr>
            <w:r>
              <w:t xml:space="preserve">Global Market Share</w:t>
            </w:r>
          </w:p>
        </w:tc>
        <w:tc>
          <w:tcPr/>
          <w:p>
            <w:pPr>
              <w:pStyle w:val="Compact"/>
              <w:jc w:val="left"/>
            </w:pPr>
            <w:r>
              <w:t xml:space="preserve">Operational Footprint</w:t>
            </w:r>
          </w:p>
        </w:tc>
        <w:tc>
          <w:tcPr/>
          <w:p>
            <w:pPr>
              <w:pStyle w:val="Compact"/>
              <w:jc w:val="left"/>
            </w:pPr>
            <w:r>
              <w:t xml:space="preserve">Strategic Strengths &amp; Valuation Benchmarks</w:t>
            </w:r>
          </w:p>
        </w:tc>
      </w:tr>
      <w:tr>
        <w:tc>
          <w:tcPr/>
          <w:p>
            <w:pPr>
              <w:pStyle w:val="Compact"/>
              <w:jc w:val="left"/>
            </w:pPr>
            <w:r>
              <w:rPr>
                <w:b/>
                <w:bCs/>
              </w:rPr>
              <w:t xml:space="preserve">VFS Global</w:t>
            </w:r>
          </w:p>
        </w:tc>
        <w:tc>
          <w:tcPr/>
          <w:p>
            <w:pPr>
              <w:pStyle w:val="Compact"/>
              <w:jc w:val="left"/>
            </w:pPr>
            <w:r>
              <w:t xml:space="preserve">Private (Blackstone / ADIA)</w:t>
            </w:r>
          </w:p>
        </w:tc>
        <w:tc>
          <w:tcPr/>
          <w:p>
            <w:pPr>
              <w:pStyle w:val="Compact"/>
              <w:jc w:val="center"/>
            </w:pPr>
            <w:r>
              <w:t xml:space="preserve">~52%</w:t>
            </w:r>
          </w:p>
        </w:tc>
        <w:tc>
          <w:tcPr/>
          <w:p>
            <w:pPr>
              <w:pStyle w:val="Compact"/>
              <w:jc w:val="left"/>
            </w:pPr>
            <w:r>
              <w:t xml:space="preserve">3,400+ VACs across 140+ countries</w:t>
            </w:r>
          </w:p>
        </w:tc>
        <w:tc>
          <w:tcPr/>
          <w:p>
            <w:pPr>
              <w:pStyle w:val="Compact"/>
              <w:jc w:val="left"/>
            </w:pPr>
            <w:r>
              <w:t xml:space="preserve">Pioneer; acquired by Blackstone at ~$2.5B valuation (18–20x EV/EBITDA benchmark).</w:t>
            </w:r>
          </w:p>
        </w:tc>
      </w:tr>
      <w:tr>
        <w:tc>
          <w:tcPr/>
          <w:p>
            <w:pPr>
              <w:pStyle w:val="Compact"/>
              <w:jc w:val="left"/>
            </w:pPr>
            <w:r>
              <w:rPr>
                <w:b/>
                <w:bCs/>
              </w:rPr>
              <w:t xml:space="preserve">TLScontact</w:t>
            </w:r>
          </w:p>
        </w:tc>
        <w:tc>
          <w:tcPr/>
          <w:p>
            <w:pPr>
              <w:pStyle w:val="Compact"/>
              <w:jc w:val="left"/>
            </w:pPr>
            <w:r>
              <w:t xml:space="preserve">Private (Teleperformance SE)</w:t>
            </w:r>
          </w:p>
        </w:tc>
        <w:tc>
          <w:tcPr/>
          <w:p>
            <w:pPr>
              <w:pStyle w:val="Compact"/>
              <w:jc w:val="center"/>
            </w:pPr>
            <w:r>
              <w:t xml:space="preserve">~16%</w:t>
            </w:r>
          </w:p>
        </w:tc>
        <w:tc>
          <w:tcPr/>
          <w:p>
            <w:pPr>
              <w:pStyle w:val="Compact"/>
              <w:jc w:val="left"/>
            </w:pPr>
            <w:r>
              <w:t xml:space="preserve">Major presence in UK, France, Germany</w:t>
            </w:r>
          </w:p>
        </w:tc>
        <w:tc>
          <w:tcPr/>
          <w:p>
            <w:pPr>
              <w:pStyle w:val="Compact"/>
              <w:jc w:val="left"/>
            </w:pPr>
            <w:r>
              <w:t xml:space="preserve">Embedded in Teleperformance Specialised Services division.</w:t>
            </w:r>
          </w:p>
        </w:tc>
      </w:tr>
      <w:tr>
        <w:tc>
          <w:tcPr/>
          <w:p>
            <w:pPr>
              <w:pStyle w:val="Compact"/>
              <w:jc w:val="left"/>
            </w:pPr>
            <w:r>
              <w:rPr>
                <w:b/>
                <w:bCs/>
              </w:rPr>
              <w:t xml:space="preserve">⭐ BLS International</w:t>
            </w:r>
          </w:p>
        </w:tc>
        <w:tc>
          <w:tcPr/>
          <w:p>
            <w:pPr>
              <w:pStyle w:val="Compact"/>
              <w:jc w:val="left"/>
            </w:pPr>
            <w:r>
              <w:t xml:space="preserve">Publicly Listed (NSE / BSE)</w:t>
            </w:r>
          </w:p>
        </w:tc>
        <w:tc>
          <w:tcPr/>
          <w:p>
            <w:pPr>
              <w:pStyle w:val="Compact"/>
              <w:jc w:val="center"/>
            </w:pPr>
            <w:r>
              <w:rPr>
                <w:b/>
                <w:bCs/>
              </w:rPr>
              <w:t xml:space="preserve">~15%</w:t>
            </w:r>
          </w:p>
        </w:tc>
        <w:tc>
          <w:tcPr/>
          <w:p>
            <w:pPr>
              <w:pStyle w:val="Compact"/>
              <w:jc w:val="left"/>
            </w:pPr>
            <w:r>
              <w:rPr>
                <w:b/>
                <w:bCs/>
              </w:rPr>
              <w:t xml:space="preserve">65+ countries; exclusive Spain global mandate</w:t>
            </w:r>
          </w:p>
        </w:tc>
        <w:tc>
          <w:tcPr/>
          <w:p>
            <w:pPr>
              <w:pStyle w:val="Compact"/>
              <w:jc w:val="left"/>
            </w:pPr>
            <w:r>
              <w:rPr>
                <w:b/>
                <w:bCs/>
              </w:rPr>
              <w:t xml:space="preserve">Sole pure-play listed proxy globally; trading at 7.2x core Visa EV/EBITDA.</w:t>
            </w:r>
          </w:p>
        </w:tc>
      </w:tr>
      <w:tr>
        <w:tc>
          <w:tcPr/>
          <w:p>
            <w:pPr>
              <w:pStyle w:val="Compact"/>
              <w:jc w:val="left"/>
            </w:pPr>
            <w:r>
              <w:rPr>
                <w:b/>
                <w:bCs/>
              </w:rPr>
              <w:t xml:space="preserve">In-House / Regional</w:t>
            </w:r>
          </w:p>
        </w:tc>
        <w:tc>
          <w:tcPr/>
          <w:p>
            <w:pPr>
              <w:pStyle w:val="Compact"/>
              <w:jc w:val="left"/>
            </w:pPr>
            <w:r>
              <w:t xml:space="preserve">Sovereign Consular Sections</w:t>
            </w:r>
          </w:p>
        </w:tc>
        <w:tc>
          <w:tcPr/>
          <w:p>
            <w:pPr>
              <w:pStyle w:val="Compact"/>
              <w:jc w:val="center"/>
            </w:pPr>
            <w:r>
              <w:t xml:space="preserve">~17%</w:t>
            </w:r>
          </w:p>
        </w:tc>
        <w:tc>
          <w:tcPr/>
          <w:p>
            <w:pPr>
              <w:pStyle w:val="Compact"/>
              <w:jc w:val="left"/>
            </w:pPr>
            <w:r>
              <w:t xml:space="preserve">Fragmented local postal/visa agents</w:t>
            </w:r>
          </w:p>
        </w:tc>
        <w:tc>
          <w:tcPr/>
          <w:p>
            <w:pPr>
              <w:pStyle w:val="Compact"/>
              <w:jc w:val="left"/>
            </w:pPr>
            <w:r>
              <w:t xml:space="preserve">Non-commercial or regional local joint ventures.</w:t>
            </w:r>
          </w:p>
        </w:tc>
      </w:tr>
    </w:tbl>
    <w:bookmarkEnd w:id="32"/>
    <w:bookmarkStart w:id="33" w:name="structural-economic-moats"/>
    <w:p>
      <w:pPr>
        <w:pStyle w:val="Heading3"/>
      </w:pPr>
      <w:r>
        <w:t xml:space="preserve">2.2 Structural Economic Moats</w:t>
      </w:r>
    </w:p>
    <w:p>
      <w:pPr>
        <w:pStyle w:val="Compact"/>
        <w:numPr>
          <w:ilvl w:val="0"/>
          <w:numId w:val="1004"/>
        </w:numPr>
      </w:pPr>
      <w:r>
        <w:rPr>
          <w:b/>
          <w:bCs/>
        </w:rPr>
        <w:t xml:space="preserve">National Security &amp; Biometric Clearances:</w:t>
      </w:r>
      <w:r>
        <w:t xml:space="preserve"> </w:t>
      </w:r>
      <w:r>
        <w:t xml:space="preserve">Managing foreign national passports, sovereign visas, and biometric databases requires state-level intelligence clearances that take 5–10 years to establish.</w:t>
      </w:r>
    </w:p>
    <w:p>
      <w:pPr>
        <w:pStyle w:val="Compact"/>
        <w:numPr>
          <w:ilvl w:val="0"/>
          <w:numId w:val="1004"/>
        </w:numPr>
      </w:pPr>
      <w:r>
        <w:rPr>
          <w:b/>
          <w:bCs/>
        </w:rPr>
        <w:t xml:space="preserve">Capital-Light Incumbency Advantage:</w:t>
      </w:r>
      <w:r>
        <w:t xml:space="preserve"> </w:t>
      </w:r>
      <w:r>
        <w:t xml:space="preserve">Once a 58-country VAC network (such as BLS’s Spain infrastructure) is established, incremental operational costs to service additional Schengen mandates from the same premises are negligible. Competing bidders must budget prohibitive upfront capital expenditures.</w:t>
      </w:r>
    </w:p>
    <w:p>
      <w:pPr>
        <w:pStyle w:val="Compact"/>
        <w:numPr>
          <w:ilvl w:val="0"/>
          <w:numId w:val="1004"/>
        </w:numPr>
      </w:pPr>
      <w:r>
        <w:rPr>
          <w:b/>
          <w:bCs/>
        </w:rPr>
        <w:t xml:space="preserve">Institutional Track Record Bias:</w:t>
      </w:r>
      <w:r>
        <w:t xml:space="preserve"> </w:t>
      </w:r>
      <w:r>
        <w:t xml:space="preserve">Sovereign procurement committees evaluate tenders using Quality-and-Cost-Based Selection (QCBS), placing heavy weight on historical SLA fulfillment rates (&gt;99.5% required) and zero security breach track records.</w:t>
      </w:r>
    </w:p>
    <w:p>
      <w:r>
        <w:pict>
          <v:rect style="width:0;height:1.5pt" o:hralign="center" o:hrstd="t" o:hr="t"/>
        </w:pict>
      </w:r>
    </w:p>
    <w:bookmarkEnd w:id="33"/>
    <w:bookmarkEnd w:id="34"/>
    <w:bookmarkStart w:id="35" w:name="section-8"/>
    <w:p>
      <w:pPr>
        <w:pStyle w:val="Heading2"/>
      </w:pPr>
      <w:r>
        <w:t xml:space="preserve">═══════════════════════════════════════════════════════════════</w:t>
      </w:r>
    </w:p>
    <w:bookmarkEnd w:id="35"/>
    <w:bookmarkStart w:id="36" w:name="X5bfff4c02462304376b5369ebeb78f27ab848b9"/>
    <w:p>
      <w:pPr>
        <w:pStyle w:val="Heading2"/>
      </w:pPr>
      <w:r>
        <w:t xml:space="preserve">SECTION 3: THE MEA DEBARMENT SAGA — FORENSIC CASE STUDY</w:t>
      </w:r>
    </w:p>
    <w:bookmarkEnd w:id="36"/>
    <w:bookmarkStart w:id="41" w:name="section-9"/>
    <w:p>
      <w:pPr>
        <w:pStyle w:val="Heading2"/>
      </w:pPr>
      <w:r>
        <w:t xml:space="preserve">═══════════════════════════════════════════════════════════════</w:t>
      </w:r>
    </w:p>
    <w:bookmarkStart w:id="37" w:name="X297a7edeace0733b76843c89f0e5a30636b9db3"/>
    <w:p>
      <w:pPr>
        <w:pStyle w:val="Heading3"/>
      </w:pPr>
      <w:r>
        <w:t xml:space="preserve">3.1 Chronological Timeline of Legal Events (2025–2026)</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Date / Period</w:t>
            </w:r>
          </w:p>
        </w:tc>
        <w:tc>
          <w:tcPr/>
          <w:p>
            <w:pPr>
              <w:pStyle w:val="Compact"/>
              <w:jc w:val="left"/>
            </w:pPr>
            <w:r>
              <w:t xml:space="preserve">Procedural Event</w:t>
            </w:r>
          </w:p>
        </w:tc>
        <w:tc>
          <w:tcPr/>
          <w:p>
            <w:pPr>
              <w:pStyle w:val="Compact"/>
              <w:jc w:val="left"/>
            </w:pPr>
            <w:r>
              <w:t xml:space="preserve">Judicial / Regulatory Action</w:t>
            </w:r>
          </w:p>
        </w:tc>
        <w:tc>
          <w:tcPr/>
          <w:p>
            <w:pPr>
              <w:pStyle w:val="Compact"/>
              <w:jc w:val="left"/>
            </w:pPr>
            <w:r>
              <w:t xml:space="preserve">Market Reaction &amp; Stock Behavior</w:t>
            </w:r>
          </w:p>
        </w:tc>
      </w:tr>
      <w:tr>
        <w:tc>
          <w:tcPr/>
          <w:p>
            <w:pPr>
              <w:pStyle w:val="Compact"/>
              <w:jc w:val="left"/>
            </w:pPr>
            <w:r>
              <w:rPr>
                <w:b/>
                <w:bCs/>
              </w:rPr>
              <w:t xml:space="preserve">Feb–Mar 2025</w:t>
            </w:r>
          </w:p>
        </w:tc>
        <w:tc>
          <w:tcPr/>
          <w:p>
            <w:pPr>
              <w:pStyle w:val="Compact"/>
              <w:jc w:val="left"/>
            </w:pPr>
            <w:r>
              <w:t xml:space="preserve">MEA floats 26 CPV tenders globally</w:t>
            </w:r>
          </w:p>
        </w:tc>
        <w:tc>
          <w:tcPr/>
          <w:p>
            <w:pPr>
              <w:pStyle w:val="Compact"/>
              <w:jc w:val="left"/>
            </w:pPr>
            <w:r>
              <w:t xml:space="preserve">BLS challenges eligibility conditions in Delhi High Court</w:t>
            </w:r>
          </w:p>
        </w:tc>
        <w:tc>
          <w:tcPr/>
          <w:p>
            <w:pPr>
              <w:pStyle w:val="Compact"/>
              <w:jc w:val="left"/>
            </w:pPr>
            <w:r>
              <w:t xml:space="preserve">Stock trades near all-time highs (₹380–₹392)</w:t>
            </w:r>
          </w:p>
        </w:tc>
      </w:tr>
      <w:tr>
        <w:tc>
          <w:tcPr/>
          <w:p>
            <w:pPr>
              <w:pStyle w:val="Compact"/>
              <w:jc w:val="left"/>
            </w:pPr>
            <w:r>
              <w:rPr>
                <w:b/>
                <w:bCs/>
              </w:rPr>
              <w:t xml:space="preserve">Oct 9, 2025</w:t>
            </w:r>
          </w:p>
        </w:tc>
        <w:tc>
          <w:tcPr/>
          <w:p>
            <w:pPr>
              <w:pStyle w:val="Compact"/>
              <w:jc w:val="left"/>
            </w:pPr>
            <w:r>
              <w:t xml:space="preserve">MEA issues 2-year debarment order</w:t>
            </w:r>
          </w:p>
        </w:tc>
        <w:tc>
          <w:tcPr/>
          <w:p>
            <w:pPr>
              <w:pStyle w:val="Compact"/>
              <w:jc w:val="left"/>
            </w:pPr>
            <w:r>
              <w:t xml:space="preserve">Order cites court challenges and consumer grievances</w:t>
            </w:r>
          </w:p>
        </w:tc>
        <w:tc>
          <w:tcPr/>
          <w:p>
            <w:pPr>
              <w:pStyle w:val="Compact"/>
              <w:jc w:val="left"/>
            </w:pPr>
            <w:r>
              <w:t xml:space="preserve">Stock plunges 22% in two trading sessions (falls to ₹285)</w:t>
            </w:r>
          </w:p>
        </w:tc>
      </w:tr>
      <w:tr>
        <w:tc>
          <w:tcPr/>
          <w:p>
            <w:pPr>
              <w:pStyle w:val="Compact"/>
              <w:jc w:val="left"/>
            </w:pPr>
            <w:r>
              <w:rPr>
                <w:b/>
                <w:bCs/>
              </w:rPr>
              <w:t xml:space="preserve">Dec 18, 2025</w:t>
            </w:r>
          </w:p>
        </w:tc>
        <w:tc>
          <w:tcPr/>
          <w:p>
            <w:pPr>
              <w:pStyle w:val="Compact"/>
              <w:jc w:val="left"/>
            </w:pPr>
            <w:r>
              <w:rPr>
                <w:b/>
                <w:bCs/>
              </w:rPr>
              <w:t xml:space="preserve">Delhi HC completely quashes debarment</w:t>
            </w:r>
          </w:p>
        </w:tc>
        <w:tc>
          <w:tcPr/>
          <w:p>
            <w:pPr>
              <w:pStyle w:val="Compact"/>
              <w:jc w:val="left"/>
            </w:pPr>
            <w:r>
              <w:rPr>
                <w:b/>
                <w:bCs/>
              </w:rPr>
              <w:t xml:space="preserve">Court rules debarment disproportionate; restores full eligibility</w:t>
            </w:r>
          </w:p>
        </w:tc>
        <w:tc>
          <w:tcPr/>
          <w:p>
            <w:pPr>
              <w:pStyle w:val="Compact"/>
              <w:jc w:val="left"/>
            </w:pPr>
            <w:r>
              <w:rPr>
                <w:b/>
                <w:bCs/>
              </w:rPr>
              <w:t xml:space="preserve">Stock stages sharp relief rally back to ₹340</w:t>
            </w:r>
          </w:p>
        </w:tc>
      </w:tr>
      <w:tr>
        <w:tc>
          <w:tcPr/>
          <w:p>
            <w:pPr>
              <w:pStyle w:val="Compact"/>
              <w:jc w:val="left"/>
            </w:pPr>
            <w:r>
              <w:rPr>
                <w:b/>
                <w:bCs/>
              </w:rPr>
              <w:t xml:space="preserve">Jan 31, 2026</w:t>
            </w:r>
          </w:p>
        </w:tc>
        <w:tc>
          <w:tcPr/>
          <w:p>
            <w:pPr>
              <w:pStyle w:val="Compact"/>
              <w:jc w:val="left"/>
            </w:pPr>
            <w:r>
              <w:t xml:space="preserve">MEA awards UAE contract to Alhind</w:t>
            </w:r>
          </w:p>
        </w:tc>
        <w:tc>
          <w:tcPr/>
          <w:p>
            <w:pPr>
              <w:pStyle w:val="Compact"/>
              <w:jc w:val="left"/>
            </w:pPr>
            <w:r>
              <w:t xml:space="preserve">Alhind selected as L-1 bidder under contested scoring model</w:t>
            </w:r>
          </w:p>
        </w:tc>
        <w:tc>
          <w:tcPr/>
          <w:p>
            <w:pPr>
              <w:pStyle w:val="Compact"/>
              <w:jc w:val="left"/>
            </w:pPr>
            <w:r>
              <w:t xml:space="preserve">Market begins pricing in permanent loss of UAE revenues</w:t>
            </w:r>
          </w:p>
        </w:tc>
      </w:tr>
      <w:tr>
        <w:tc>
          <w:tcPr/>
          <w:p>
            <w:pPr>
              <w:pStyle w:val="Compact"/>
              <w:jc w:val="left"/>
            </w:pPr>
            <w:r>
              <w:rPr>
                <w:b/>
                <w:bCs/>
              </w:rPr>
              <w:t xml:space="preserve">Jun 30, 2026</w:t>
            </w:r>
          </w:p>
        </w:tc>
        <w:tc>
          <w:tcPr/>
          <w:p>
            <w:pPr>
              <w:pStyle w:val="Compact"/>
              <w:jc w:val="left"/>
            </w:pPr>
            <w:r>
              <w:t xml:space="preserve">BLS decade-long UAE contract expires</w:t>
            </w:r>
          </w:p>
        </w:tc>
        <w:tc>
          <w:tcPr/>
          <w:p>
            <w:pPr>
              <w:pStyle w:val="Compact"/>
              <w:jc w:val="left"/>
            </w:pPr>
            <w:r>
              <w:t xml:space="preserve">Indian missions in UAE manage consular processing directly</w:t>
            </w:r>
          </w:p>
        </w:tc>
        <w:tc>
          <w:tcPr/>
          <w:p>
            <w:pPr>
              <w:pStyle w:val="Compact"/>
              <w:jc w:val="left"/>
            </w:pPr>
            <w:r>
              <w:t xml:space="preserve">Stock consolidates in the ₹260–₹275 corridor</w:t>
            </w:r>
          </w:p>
        </w:tc>
      </w:tr>
      <w:tr>
        <w:tc>
          <w:tcPr/>
          <w:p>
            <w:pPr>
              <w:pStyle w:val="Compact"/>
              <w:jc w:val="left"/>
            </w:pPr>
            <w:r>
              <w:rPr>
                <w:b/>
                <w:bCs/>
              </w:rPr>
              <w:t xml:space="preserve">Jul 15, 2026</w:t>
            </w:r>
          </w:p>
        </w:tc>
        <w:tc>
          <w:tcPr/>
          <w:p>
            <w:pPr>
              <w:pStyle w:val="Compact"/>
              <w:jc w:val="left"/>
            </w:pPr>
            <w:r>
              <w:rPr>
                <w:b/>
                <w:bCs/>
              </w:rPr>
              <w:t xml:space="preserve">Delhi HC quashes Alhind award</w:t>
            </w:r>
          </w:p>
        </w:tc>
        <w:tc>
          <w:tcPr/>
          <w:p>
            <w:pPr>
              <w:pStyle w:val="Compact"/>
              <w:jc w:val="left"/>
            </w:pPr>
            <w:r>
              <w:rPr>
                <w:b/>
                <w:bCs/>
              </w:rPr>
              <w:t xml:space="preserve">High Court finds MEA technical evaluation lacked transparency</w:t>
            </w:r>
          </w:p>
        </w:tc>
        <w:tc>
          <w:tcPr/>
          <w:p>
            <w:pPr>
              <w:pStyle w:val="Compact"/>
              <w:jc w:val="left"/>
            </w:pPr>
            <w:r>
              <w:t xml:space="preserve">Unsuccessful bidders challenge tender integrity</w:t>
            </w:r>
          </w:p>
        </w:tc>
      </w:tr>
      <w:tr>
        <w:tc>
          <w:tcPr/>
          <w:p>
            <w:pPr>
              <w:pStyle w:val="Compact"/>
              <w:jc w:val="left"/>
            </w:pPr>
            <w:r>
              <w:rPr>
                <w:b/>
                <w:bCs/>
              </w:rPr>
              <w:t xml:space="preserve">Jul 22, 2026</w:t>
            </w:r>
          </w:p>
        </w:tc>
        <w:tc>
          <w:tcPr/>
          <w:p>
            <w:pPr>
              <w:pStyle w:val="Compact"/>
              <w:jc w:val="left"/>
            </w:pPr>
            <w:r>
              <w:rPr>
                <w:b/>
                <w:bCs/>
              </w:rPr>
              <w:t xml:space="preserve">Supreme Court upholds cancellation</w:t>
            </w:r>
          </w:p>
        </w:tc>
        <w:tc>
          <w:tcPr/>
          <w:p>
            <w:pPr>
              <w:pStyle w:val="Compact"/>
              <w:jc w:val="left"/>
            </w:pPr>
            <w:r>
              <w:rPr>
                <w:b/>
                <w:bCs/>
              </w:rPr>
              <w:t xml:space="preserve">Alhind restricted to interim status; MEA ordered to re-tender</w:t>
            </w:r>
          </w:p>
        </w:tc>
        <w:tc>
          <w:tcPr/>
          <w:p>
            <w:pPr>
              <w:pStyle w:val="Compact"/>
              <w:jc w:val="left"/>
            </w:pPr>
            <w:r>
              <w:rPr>
                <w:b/>
                <w:bCs/>
              </w:rPr>
              <w:t xml:space="preserve">Stock hits panic trough of ₹212–₹218</w:t>
            </w:r>
          </w:p>
        </w:tc>
      </w:tr>
    </w:tbl>
    <w:bookmarkEnd w:id="37"/>
    <w:bookmarkStart w:id="38" w:name="quantifying-the-real-earnings-exposure"/>
    <w:p>
      <w:pPr>
        <w:pStyle w:val="Heading3"/>
      </w:pPr>
      <w:r>
        <w:t xml:space="preserve">3.2 Quantifying the Real Earnings Exposure</w:t>
      </w:r>
    </w:p>
    <w:p>
      <w:pPr>
        <w:pStyle w:val="Compact"/>
        <w:numPr>
          <w:ilvl w:val="0"/>
          <w:numId w:val="1005"/>
        </w:numPr>
      </w:pPr>
      <w:r>
        <w:rPr>
          <w:b/>
          <w:bCs/>
        </w:rPr>
        <w:t xml:space="preserve">Total MEA Sovereign Exposure:</w:t>
      </w:r>
      <w:r>
        <w:t xml:space="preserve"> </w:t>
      </w:r>
      <w:r>
        <w:t xml:space="preserve">All Indian consular missions worldwide contributed roughly</w:t>
      </w:r>
      <w:r>
        <w:t xml:space="preserve"> </w:t>
      </w:r>
      <w:r>
        <w:rPr>
          <w:b/>
          <w:bCs/>
        </w:rPr>
        <w:t xml:space="preserve">~12% of consolidated revenue (~₹360 Cr)</w:t>
      </w:r>
      <w:r>
        <w:t xml:space="preserve"> </w:t>
      </w:r>
      <w:r>
        <w:t xml:space="preserve">in FY26.</w:t>
      </w:r>
    </w:p>
    <w:p>
      <w:pPr>
        <w:pStyle w:val="Compact"/>
        <w:numPr>
          <w:ilvl w:val="0"/>
          <w:numId w:val="1005"/>
        </w:numPr>
      </w:pPr>
      <w:r>
        <w:rPr>
          <w:b/>
          <w:bCs/>
        </w:rPr>
        <w:t xml:space="preserve">UAE Specific Mandate:</w:t>
      </w:r>
      <w:r>
        <w:t xml:space="preserve"> </w:t>
      </w:r>
      <w:r>
        <w:t xml:space="preserve">The UAE consular contract generated approximately</w:t>
      </w:r>
      <w:r>
        <w:t xml:space="preserve"> </w:t>
      </w:r>
      <w:r>
        <w:rPr>
          <w:b/>
          <w:bCs/>
        </w:rPr>
        <w:t xml:space="preserve">₹180–₹200 Crore in annual revenue</w:t>
      </w:r>
      <w:r>
        <w:t xml:space="preserve"> </w:t>
      </w:r>
      <w:r>
        <w:t xml:space="preserve">and</w:t>
      </w:r>
      <w:r>
        <w:t xml:space="preserve"> </w:t>
      </w:r>
      <w:r>
        <w:rPr>
          <w:b/>
          <w:bCs/>
        </w:rPr>
        <w:t xml:space="preserve">₹55–₹65 Crore in annual PAT</w:t>
      </w:r>
      <w:r>
        <w:t xml:space="preserve"> </w:t>
      </w:r>
      <w:r>
        <w:t xml:space="preserve">(~8% of FY26 group earnings).</w:t>
      </w:r>
    </w:p>
    <w:p>
      <w:pPr>
        <w:pStyle w:val="Compact"/>
        <w:numPr>
          <w:ilvl w:val="0"/>
          <w:numId w:val="1005"/>
        </w:numPr>
      </w:pPr>
      <w:r>
        <w:rPr>
          <w:b/>
          <w:bCs/>
        </w:rPr>
        <w:t xml:space="preserve">Core Sovereign Fortress:</w:t>
      </w:r>
      <w:r>
        <w:t xml:space="preserve"> </w:t>
      </w:r>
      <w:r>
        <w:t xml:space="preserve">BLS’s major long-term contracts with Spain (58 countries), Germany, Italy, Hungary, and Canada operate under foreign diplomatic jurisdictions and are 100% insulated from MEA developments.</w:t>
      </w:r>
    </w:p>
    <w:bookmarkEnd w:id="38"/>
    <w:bookmarkStart w:id="40" w:name="Xe7db31c8cf1b9da28f43a781a73fe836e6fd3d2"/>
    <w:p>
      <w:pPr>
        <w:pStyle w:val="Heading3"/>
      </w:pPr>
      <w:r>
        <w:t xml:space="preserve">3.3 The Market’s 10x Overreaction &amp; Event Study Analysis</w:t>
      </w:r>
    </w:p>
    <w:p>
      <w:pPr>
        <w:pStyle w:val="FirstParagraph"/>
      </w:pPr>
      <w:r>
        <w:t xml:space="preserve">From its peak of ₹392 to its panic trough of ₹212, BLS lost</w:t>
      </w:r>
      <w:r>
        <w:t xml:space="preserve"> </w:t>
      </w:r>
      <w:r>
        <w:rPr>
          <w:b/>
          <w:bCs/>
        </w:rPr>
        <w:t xml:space="preserve">₹7,400 Crore in market capitalisation</w:t>
      </w:r>
      <w:r>
        <w:t xml:space="preserve">. Even assuming the permanent, irreversible loss of the UAE contract, capitalizing ₹65 Crore in lost PAT at an institutional multiple of 15.0x justifies an enterprise value reduction of only</w:t>
      </w:r>
      <w:r>
        <w:t xml:space="preserve"> </w:t>
      </w:r>
      <w:r>
        <w:rPr>
          <w:b/>
          <w:bCs/>
        </w:rPr>
        <w:t xml:space="preserve">₹975 Crore</w:t>
      </w:r>
      <w:r>
        <w:t xml:space="preserve">. The market over-penalized BLS by over</w:t>
      </w:r>
      <w:r>
        <w:t xml:space="preserve"> </w:t>
      </w:r>
      <w:r>
        <w:rPr>
          <w:b/>
          <w:bCs/>
        </w:rPr>
        <w:t xml:space="preserve">₹6,400 Crore</w:t>
      </w:r>
      <w:r>
        <w:t xml:space="preserve">, creating an exceptional entry window.</w:t>
      </w:r>
    </w:p>
    <w:bookmarkStart w:id="39" w:name="event-study-metrics"/>
    <w:p>
      <w:pPr>
        <w:pStyle w:val="Heading4"/>
      </w:pPr>
      <w:r>
        <w:t xml:space="preserve">Event Study Metrics:</w:t>
      </w:r>
    </w:p>
    <w:p>
      <w:pPr>
        <w:pStyle w:val="Compact"/>
        <w:numPr>
          <w:ilvl w:val="0"/>
          <w:numId w:val="1006"/>
        </w:numPr>
      </w:pPr>
      <w:r>
        <w:rPr>
          <w:b/>
          <w:bCs/>
        </w:rPr>
        <w:t xml:space="preserve">Pre-Debarment Peak (Oct 8, 2025):</w:t>
      </w:r>
      <w:r>
        <w:t xml:space="preserve"> </w:t>
      </w:r>
      <w:r>
        <w:t xml:space="preserve">₹384.50 | Fully valued at 22.5x EV/EBITDA</w:t>
      </w:r>
    </w:p>
    <w:p>
      <w:pPr>
        <w:pStyle w:val="Compact"/>
        <w:numPr>
          <w:ilvl w:val="0"/>
          <w:numId w:val="1006"/>
        </w:numPr>
      </w:pPr>
      <w:r>
        <w:rPr>
          <w:b/>
          <w:bCs/>
        </w:rPr>
        <w:t xml:space="preserve">Debarment Shock Low (Oct 10, 2025):</w:t>
      </w:r>
      <w:r>
        <w:t xml:space="preserve"> </w:t>
      </w:r>
      <w:r>
        <w:t xml:space="preserve">₹285.00 (-25.9% relative drawdown)</w:t>
      </w:r>
    </w:p>
    <w:p>
      <w:pPr>
        <w:pStyle w:val="Compact"/>
        <w:numPr>
          <w:ilvl w:val="0"/>
          <w:numId w:val="1006"/>
        </w:numPr>
      </w:pPr>
      <w:r>
        <w:rPr>
          <w:b/>
          <w:bCs/>
        </w:rPr>
        <w:t xml:space="preserve">High Court Quash Relief Rally (Dec 19, 2025):</w:t>
      </w:r>
      <w:r>
        <w:t xml:space="preserve"> </w:t>
      </w:r>
      <w:r>
        <w:t xml:space="preserve">₹342.10 (+20.0% rebound)</w:t>
      </w:r>
    </w:p>
    <w:p>
      <w:pPr>
        <w:pStyle w:val="Compact"/>
        <w:numPr>
          <w:ilvl w:val="0"/>
          <w:numId w:val="1006"/>
        </w:numPr>
      </w:pPr>
      <w:r>
        <w:rPr>
          <w:b/>
          <w:bCs/>
        </w:rPr>
        <w:t xml:space="preserve">Alhind L-1 Loss (Jan 31, 2026):</w:t>
      </w:r>
      <w:r>
        <w:t xml:space="preserve"> </w:t>
      </w:r>
      <w:r>
        <w:t xml:space="preserve">₹294.50 (-13.9%)</w:t>
      </w:r>
    </w:p>
    <w:p>
      <w:pPr>
        <w:pStyle w:val="Compact"/>
        <w:numPr>
          <w:ilvl w:val="0"/>
          <w:numId w:val="1006"/>
        </w:numPr>
      </w:pPr>
      <w:r>
        <w:rPr>
          <w:b/>
          <w:bCs/>
        </w:rPr>
        <w:t xml:space="preserve">Supreme Court Re-Tender Order / CMP (Oct 2026):</w:t>
      </w:r>
      <w:r>
        <w:t xml:space="preserve"> </w:t>
      </w:r>
      <w:r>
        <w:t xml:space="preserve">₹224.00 (-23.9% from interim levels; 38% below 52W high)</w:t>
      </w:r>
    </w:p>
    <w:p>
      <w:r>
        <w:pict>
          <v:rect style="width:0;height:1.5pt" o:hralign="center" o:hrstd="t" o:hr="t"/>
        </w:pict>
      </w:r>
    </w:p>
    <w:bookmarkEnd w:id="39"/>
    <w:bookmarkEnd w:id="40"/>
    <w:bookmarkEnd w:id="41"/>
    <w:bookmarkStart w:id="42" w:name="section-10"/>
    <w:p>
      <w:pPr>
        <w:pStyle w:val="Heading2"/>
      </w:pPr>
      <w:r>
        <w:t xml:space="preserve">═══════════════════════════════════════════════════════════════</w:t>
      </w:r>
    </w:p>
    <w:bookmarkEnd w:id="42"/>
    <w:bookmarkStart w:id="43" w:name="X12ce75add62d3bcf823c1722b36644a8a1bbfbe"/>
    <w:p>
      <w:pPr>
        <w:pStyle w:val="Heading2"/>
      </w:pPr>
      <w:r>
        <w:t xml:space="preserve">SECTION 4: OPERATIONAL KPIS &amp; UNIT ECONOMICS</w:t>
      </w:r>
    </w:p>
    <w:bookmarkEnd w:id="43"/>
    <w:bookmarkStart w:id="48" w:name="section-11"/>
    <w:p>
      <w:pPr>
        <w:pStyle w:val="Heading2"/>
      </w:pPr>
      <w:r>
        <w:t xml:space="preserve">═══════════════════════════════════════════════════════════════</w:t>
      </w:r>
    </w:p>
    <w:bookmarkStart w:id="44" w:name="the-structural-yield-expansion-story"/>
    <w:p>
      <w:pPr>
        <w:pStyle w:val="Heading3"/>
      </w:pPr>
      <w:r>
        <w:t xml:space="preserve">4.1 The Structural Yield Expansion Story</w:t>
      </w:r>
    </w:p>
    <w:tbl>
      <w:tblPr>
        <w:tblStyle w:val="Table"/>
        <w:tblW w:type="pct" w:w="5000"/>
        <w:tblLayout w:type="fixed"/>
        <w:tblLook w:firstRow="1" w:lastRow="0" w:firstColumn="0" w:lastColumn="0" w:noHBand="0" w:noVBand="0" w:val="0020"/>
      </w:tblPr>
      <w:tblGrid>
        <w:gridCol w:w="812"/>
        <w:gridCol w:w="1015"/>
        <w:gridCol w:w="1015"/>
        <w:gridCol w:w="1015"/>
        <w:gridCol w:w="1015"/>
        <w:gridCol w:w="1015"/>
        <w:gridCol w:w="1015"/>
        <w:gridCol w:w="1015"/>
      </w:tblGrid>
      <w:tr>
        <w:trPr>
          <w:tblHeader w:val="on"/>
        </w:trPr>
        <w:tc>
          <w:tcPr/>
          <w:p>
            <w:pPr>
              <w:pStyle w:val="Compact"/>
              <w:jc w:val="left"/>
            </w:pPr>
            <w:r>
              <w:t xml:space="preserve">Operational Parameter</w:t>
            </w:r>
          </w:p>
        </w:tc>
        <w:tc>
          <w:tcPr/>
          <w:p>
            <w:pPr>
              <w:pStyle w:val="Compact"/>
              <w:jc w:val="center"/>
            </w:pPr>
            <w:r>
              <w:t xml:space="preserve">FY22A</w:t>
            </w:r>
          </w:p>
        </w:tc>
        <w:tc>
          <w:tcPr/>
          <w:p>
            <w:pPr>
              <w:pStyle w:val="Compact"/>
              <w:jc w:val="center"/>
            </w:pPr>
            <w:r>
              <w:t xml:space="preserve">FY23A</w:t>
            </w:r>
          </w:p>
        </w:tc>
        <w:tc>
          <w:tcPr/>
          <w:p>
            <w:pPr>
              <w:pStyle w:val="Compact"/>
              <w:jc w:val="center"/>
            </w:pPr>
            <w:r>
              <w:t xml:space="preserve">FY24A</w:t>
            </w:r>
          </w:p>
        </w:tc>
        <w:tc>
          <w:tcPr/>
          <w:p>
            <w:pPr>
              <w:pStyle w:val="Compact"/>
              <w:jc w:val="center"/>
            </w:pPr>
            <w:r>
              <w:t xml:space="preserve">FY25A</w:t>
            </w:r>
          </w:p>
        </w:tc>
        <w:tc>
          <w:tcPr/>
          <w:p>
            <w:pPr>
              <w:pStyle w:val="Compact"/>
              <w:jc w:val="center"/>
            </w:pPr>
            <w:r>
              <w:t xml:space="preserve">FY26A</w:t>
            </w:r>
          </w:p>
        </w:tc>
        <w:tc>
          <w:tcPr/>
          <w:p>
            <w:pPr>
              <w:pStyle w:val="Compact"/>
              <w:jc w:val="center"/>
            </w:pPr>
            <w:r>
              <w:t xml:space="preserve">FY27E</w:t>
            </w:r>
          </w:p>
        </w:tc>
        <w:tc>
          <w:tcPr/>
          <w:p>
            <w:pPr>
              <w:pStyle w:val="Compact"/>
              <w:jc w:val="center"/>
            </w:pPr>
            <w:r>
              <w:t xml:space="preserve">FY28E</w:t>
            </w:r>
          </w:p>
        </w:tc>
      </w:tr>
      <w:tr>
        <w:tc>
          <w:tcPr/>
          <w:p>
            <w:pPr>
              <w:pStyle w:val="Compact"/>
              <w:jc w:val="left"/>
            </w:pPr>
            <w:r>
              <w:rPr>
                <w:b/>
                <w:bCs/>
              </w:rPr>
              <w:t xml:space="preserve">Visa Applications Processed (Lakh)</w:t>
            </w:r>
          </w:p>
        </w:tc>
        <w:tc>
          <w:tcPr/>
          <w:p>
            <w:pPr>
              <w:pStyle w:val="Compact"/>
              <w:jc w:val="center"/>
            </w:pPr>
            <w:r>
              <w:t xml:space="preserve">18.5</w:t>
            </w:r>
          </w:p>
        </w:tc>
        <w:tc>
          <w:tcPr/>
          <w:p>
            <w:pPr>
              <w:pStyle w:val="Compact"/>
              <w:jc w:val="center"/>
            </w:pPr>
            <w:r>
              <w:t xml:space="preserve">28.4</w:t>
            </w:r>
          </w:p>
        </w:tc>
        <w:tc>
          <w:tcPr/>
          <w:p>
            <w:pPr>
              <w:pStyle w:val="Compact"/>
              <w:jc w:val="center"/>
            </w:pPr>
            <w:r>
              <w:t xml:space="preserve">33.2</w:t>
            </w:r>
          </w:p>
        </w:tc>
        <w:tc>
          <w:tcPr/>
          <w:p>
            <w:pPr>
              <w:pStyle w:val="Compact"/>
              <w:jc w:val="center"/>
            </w:pPr>
            <w:r>
              <w:t xml:space="preserve">37.5</w:t>
            </w:r>
          </w:p>
        </w:tc>
        <w:tc>
          <w:tcPr/>
          <w:p>
            <w:pPr>
              <w:pStyle w:val="Compact"/>
              <w:jc w:val="center"/>
            </w:pPr>
            <w:r>
              <w:rPr>
                <w:b/>
                <w:bCs/>
              </w:rPr>
              <w:t xml:space="preserve">44.1</w:t>
            </w:r>
          </w:p>
        </w:tc>
        <w:tc>
          <w:tcPr/>
          <w:p>
            <w:pPr>
              <w:pStyle w:val="Compact"/>
              <w:jc w:val="center"/>
            </w:pPr>
            <w:r>
              <w:rPr>
                <w:b/>
                <w:bCs/>
              </w:rPr>
              <w:t xml:space="preserve">51.5</w:t>
            </w:r>
          </w:p>
        </w:tc>
        <w:tc>
          <w:tcPr/>
          <w:p>
            <w:pPr>
              <w:pStyle w:val="Compact"/>
              <w:jc w:val="center"/>
            </w:pPr>
            <w:r>
              <w:rPr>
                <w:b/>
                <w:bCs/>
              </w:rPr>
              <w:t xml:space="preserve">60.0</w:t>
            </w:r>
          </w:p>
        </w:tc>
      </w:tr>
      <w:tr>
        <w:tc>
          <w:tcPr/>
          <w:p>
            <w:pPr>
              <w:pStyle w:val="Compact"/>
              <w:jc w:val="left"/>
            </w:pPr>
            <w:r>
              <w:t xml:space="preserve">YoY Volume Growth (%)</w:t>
            </w:r>
          </w:p>
        </w:tc>
        <w:tc>
          <w:tcPr/>
          <w:p>
            <w:pPr>
              <w:pStyle w:val="Compact"/>
              <w:jc w:val="center"/>
            </w:pPr>
            <w:r>
              <w:t xml:space="preserve">—</w:t>
            </w:r>
          </w:p>
        </w:tc>
        <w:tc>
          <w:tcPr/>
          <w:p>
            <w:pPr>
              <w:pStyle w:val="Compact"/>
              <w:jc w:val="center"/>
            </w:pPr>
            <w:r>
              <w:t xml:space="preserve">+53.5%</w:t>
            </w:r>
          </w:p>
        </w:tc>
        <w:tc>
          <w:tcPr/>
          <w:p>
            <w:pPr>
              <w:pStyle w:val="Compact"/>
              <w:jc w:val="center"/>
            </w:pPr>
            <w:r>
              <w:t xml:space="preserve">+16.9%</w:t>
            </w:r>
          </w:p>
        </w:tc>
        <w:tc>
          <w:tcPr/>
          <w:p>
            <w:pPr>
              <w:pStyle w:val="Compact"/>
              <w:jc w:val="center"/>
            </w:pPr>
            <w:r>
              <w:t xml:space="preserve">+13.0%</w:t>
            </w:r>
          </w:p>
        </w:tc>
        <w:tc>
          <w:tcPr/>
          <w:p>
            <w:pPr>
              <w:pStyle w:val="Compact"/>
              <w:jc w:val="center"/>
            </w:pPr>
            <w:r>
              <w:rPr>
                <w:b/>
                <w:bCs/>
              </w:rPr>
              <w:t xml:space="preserve">+17.6%</w:t>
            </w:r>
          </w:p>
        </w:tc>
        <w:tc>
          <w:tcPr/>
          <w:p>
            <w:pPr>
              <w:pStyle w:val="Compact"/>
              <w:jc w:val="center"/>
            </w:pPr>
            <w:r>
              <w:t xml:space="preserve">+16.8%</w:t>
            </w:r>
          </w:p>
        </w:tc>
        <w:tc>
          <w:tcPr/>
          <w:p>
            <w:pPr>
              <w:pStyle w:val="Compact"/>
              <w:jc w:val="center"/>
            </w:pPr>
            <w:r>
              <w:t xml:space="preserve">+16.5%</w:t>
            </w:r>
          </w:p>
        </w:tc>
      </w:tr>
      <w:tr>
        <w:tc>
          <w:tcPr/>
          <w:p>
            <w:pPr>
              <w:pStyle w:val="Compact"/>
              <w:jc w:val="left"/>
            </w:pPr>
            <w:r>
              <w:rPr>
                <w:b/>
                <w:bCs/>
              </w:rPr>
              <w:t xml:space="preserve">Net Revenue per Application (₹)</w:t>
            </w:r>
          </w:p>
        </w:tc>
        <w:tc>
          <w:tcPr/>
          <w:p>
            <w:pPr>
              <w:pStyle w:val="Compact"/>
              <w:jc w:val="center"/>
            </w:pPr>
            <w:r>
              <w:t xml:space="preserve">2,100</w:t>
            </w:r>
          </w:p>
        </w:tc>
        <w:tc>
          <w:tcPr/>
          <w:p>
            <w:pPr>
              <w:pStyle w:val="Compact"/>
              <w:jc w:val="center"/>
            </w:pPr>
            <w:r>
              <w:t xml:space="preserve">2,450</w:t>
            </w:r>
          </w:p>
        </w:tc>
        <w:tc>
          <w:tcPr/>
          <w:p>
            <w:pPr>
              <w:pStyle w:val="Compact"/>
              <w:jc w:val="center"/>
            </w:pPr>
            <w:r>
              <w:t xml:space="preserve">2,680</w:t>
            </w:r>
          </w:p>
        </w:tc>
        <w:tc>
          <w:tcPr/>
          <w:p>
            <w:pPr>
              <w:pStyle w:val="Compact"/>
              <w:jc w:val="center"/>
            </w:pPr>
            <w:r>
              <w:t xml:space="preserve">2,903</w:t>
            </w:r>
          </w:p>
        </w:tc>
        <w:tc>
          <w:tcPr/>
          <w:p>
            <w:pPr>
              <w:pStyle w:val="Compact"/>
              <w:jc w:val="center"/>
            </w:pPr>
            <w:r>
              <w:rPr>
                <w:b/>
                <w:bCs/>
              </w:rPr>
              <w:t xml:space="preserve">3,302</w:t>
            </w:r>
          </w:p>
        </w:tc>
        <w:tc>
          <w:tcPr/>
          <w:p>
            <w:pPr>
              <w:pStyle w:val="Compact"/>
              <w:jc w:val="center"/>
            </w:pPr>
            <w:r>
              <w:rPr>
                <w:b/>
                <w:bCs/>
              </w:rPr>
              <w:t xml:space="preserve">3,650</w:t>
            </w:r>
          </w:p>
        </w:tc>
        <w:tc>
          <w:tcPr/>
          <w:p>
            <w:pPr>
              <w:pStyle w:val="Compact"/>
              <w:jc w:val="center"/>
            </w:pPr>
            <w:r>
              <w:rPr>
                <w:b/>
                <w:bCs/>
              </w:rPr>
              <w:t xml:space="preserve">4,020</w:t>
            </w:r>
          </w:p>
        </w:tc>
      </w:tr>
      <w:tr>
        <w:tc>
          <w:tcPr/>
          <w:p>
            <w:pPr>
              <w:pStyle w:val="Compact"/>
              <w:jc w:val="left"/>
            </w:pPr>
            <w:r>
              <w:t xml:space="preserve">YoY Yield Growth (%)</w:t>
            </w:r>
          </w:p>
        </w:tc>
        <w:tc>
          <w:tcPr/>
          <w:p>
            <w:pPr>
              <w:pStyle w:val="Compact"/>
              <w:jc w:val="center"/>
            </w:pPr>
            <w:r>
              <w:t xml:space="preserve">—</w:t>
            </w:r>
          </w:p>
        </w:tc>
        <w:tc>
          <w:tcPr/>
          <w:p>
            <w:pPr>
              <w:pStyle w:val="Compact"/>
              <w:jc w:val="center"/>
            </w:pPr>
            <w:r>
              <w:t xml:space="preserve">+16.7%</w:t>
            </w:r>
          </w:p>
        </w:tc>
        <w:tc>
          <w:tcPr/>
          <w:p>
            <w:pPr>
              <w:pStyle w:val="Compact"/>
              <w:jc w:val="center"/>
            </w:pPr>
            <w:r>
              <w:t xml:space="preserve">+9.4%</w:t>
            </w:r>
          </w:p>
        </w:tc>
        <w:tc>
          <w:tcPr/>
          <w:p>
            <w:pPr>
              <w:pStyle w:val="Compact"/>
              <w:jc w:val="center"/>
            </w:pPr>
            <w:r>
              <w:t xml:space="preserve">+8.3%</w:t>
            </w:r>
          </w:p>
        </w:tc>
        <w:tc>
          <w:tcPr/>
          <w:p>
            <w:pPr>
              <w:pStyle w:val="Compact"/>
              <w:jc w:val="center"/>
            </w:pPr>
            <w:r>
              <w:rPr>
                <w:b/>
                <w:bCs/>
              </w:rPr>
              <w:t xml:space="preserve">+13.7%</w:t>
            </w:r>
          </w:p>
        </w:tc>
        <w:tc>
          <w:tcPr/>
          <w:p>
            <w:pPr>
              <w:pStyle w:val="Compact"/>
              <w:jc w:val="center"/>
            </w:pPr>
            <w:r>
              <w:t xml:space="preserve">+10.5%</w:t>
            </w:r>
          </w:p>
        </w:tc>
        <w:tc>
          <w:tcPr/>
          <w:p>
            <w:pPr>
              <w:pStyle w:val="Compact"/>
              <w:jc w:val="center"/>
            </w:pPr>
            <w:r>
              <w:t xml:space="preserve">+10.1%</w:t>
            </w:r>
          </w:p>
        </w:tc>
      </w:tr>
      <w:tr>
        <w:tc>
          <w:tcPr/>
          <w:p>
            <w:pPr>
              <w:pStyle w:val="Compact"/>
              <w:jc w:val="left"/>
            </w:pPr>
            <w:r>
              <w:rPr>
                <w:b/>
                <w:bCs/>
              </w:rPr>
              <w:t xml:space="preserve">Visa Net Revenue (₹ Cr)</w:t>
            </w:r>
          </w:p>
        </w:tc>
        <w:tc>
          <w:tcPr/>
          <w:p>
            <w:pPr>
              <w:pStyle w:val="Compact"/>
              <w:jc w:val="center"/>
            </w:pPr>
            <w:r>
              <w:t xml:space="preserve">388.5</w:t>
            </w:r>
          </w:p>
        </w:tc>
        <w:tc>
          <w:tcPr/>
          <w:p>
            <w:pPr>
              <w:pStyle w:val="Compact"/>
              <w:jc w:val="center"/>
            </w:pPr>
            <w:r>
              <w:t xml:space="preserve">695.8</w:t>
            </w:r>
          </w:p>
        </w:tc>
        <w:tc>
          <w:tcPr/>
          <w:p>
            <w:pPr>
              <w:pStyle w:val="Compact"/>
              <w:jc w:val="center"/>
            </w:pPr>
            <w:r>
              <w:t xml:space="preserve">889.8</w:t>
            </w:r>
          </w:p>
        </w:tc>
        <w:tc>
          <w:tcPr/>
          <w:p>
            <w:pPr>
              <w:pStyle w:val="Compact"/>
              <w:jc w:val="center"/>
            </w:pPr>
            <w:r>
              <w:t xml:space="preserve">1,088.6</w:t>
            </w:r>
          </w:p>
        </w:tc>
        <w:tc>
          <w:tcPr/>
          <w:p>
            <w:pPr>
              <w:pStyle w:val="Compact"/>
              <w:jc w:val="center"/>
            </w:pPr>
            <w:r>
              <w:rPr>
                <w:b/>
                <w:bCs/>
              </w:rPr>
              <w:t xml:space="preserve">1,456.2</w:t>
            </w:r>
          </w:p>
        </w:tc>
        <w:tc>
          <w:tcPr/>
          <w:p>
            <w:pPr>
              <w:pStyle w:val="Compact"/>
              <w:jc w:val="center"/>
            </w:pPr>
            <w:r>
              <w:t xml:space="preserve">1,879.8</w:t>
            </w:r>
          </w:p>
        </w:tc>
        <w:tc>
          <w:tcPr/>
          <w:p>
            <w:pPr>
              <w:pStyle w:val="Compact"/>
              <w:jc w:val="center"/>
            </w:pPr>
            <w:r>
              <w:t xml:space="preserve">2,412.0</w:t>
            </w:r>
          </w:p>
        </w:tc>
      </w:tr>
      <w:tr>
        <w:tc>
          <w:tcPr/>
          <w:p>
            <w:pPr>
              <w:pStyle w:val="Compact"/>
              <w:jc w:val="left"/>
            </w:pPr>
            <w:r>
              <w:rPr>
                <w:b/>
                <w:bCs/>
              </w:rPr>
              <w:t xml:space="preserve">Visa Segment EBITDA Margin (%)</w:t>
            </w:r>
          </w:p>
        </w:tc>
        <w:tc>
          <w:tcPr/>
          <w:p>
            <w:pPr>
              <w:pStyle w:val="Compact"/>
              <w:jc w:val="center"/>
            </w:pPr>
            <w:r>
              <w:t xml:space="preserve">15.2%</w:t>
            </w:r>
          </w:p>
        </w:tc>
        <w:tc>
          <w:tcPr/>
          <w:p>
            <w:pPr>
              <w:pStyle w:val="Compact"/>
              <w:jc w:val="center"/>
            </w:pPr>
            <w:r>
              <w:t xml:space="preserve">24.5%</w:t>
            </w:r>
          </w:p>
        </w:tc>
        <w:tc>
          <w:tcPr/>
          <w:p>
            <w:pPr>
              <w:pStyle w:val="Compact"/>
              <w:jc w:val="center"/>
            </w:pPr>
            <w:r>
              <w:t xml:space="preserve">31.2%</w:t>
            </w:r>
          </w:p>
        </w:tc>
        <w:tc>
          <w:tcPr/>
          <w:p>
            <w:pPr>
              <w:pStyle w:val="Compact"/>
              <w:jc w:val="center"/>
            </w:pPr>
            <w:r>
              <w:t xml:space="preserve">34.5%</w:t>
            </w:r>
          </w:p>
        </w:tc>
        <w:tc>
          <w:tcPr/>
          <w:p>
            <w:pPr>
              <w:pStyle w:val="Compact"/>
              <w:jc w:val="center"/>
            </w:pPr>
            <w:r>
              <w:rPr>
                <w:b/>
                <w:bCs/>
              </w:rPr>
              <w:t xml:space="preserve">40.1%</w:t>
            </w:r>
          </w:p>
        </w:tc>
        <w:tc>
          <w:tcPr/>
          <w:p>
            <w:pPr>
              <w:pStyle w:val="Compact"/>
              <w:jc w:val="center"/>
            </w:pPr>
            <w:r>
              <w:t xml:space="preserve">40.9%</w:t>
            </w:r>
          </w:p>
        </w:tc>
        <w:tc>
          <w:tcPr/>
          <w:p>
            <w:pPr>
              <w:pStyle w:val="Compact"/>
              <w:jc w:val="center"/>
            </w:pPr>
            <w:r>
              <w:t xml:space="preserve">41.5%</w:t>
            </w:r>
          </w:p>
        </w:tc>
      </w:tr>
    </w:tbl>
    <w:bookmarkEnd w:id="44"/>
    <w:bookmarkStart w:id="45" w:name="X7a9c5d485b98b0cdb461e111c662f88bd8bbabc"/>
    <w:p>
      <w:pPr>
        <w:pStyle w:val="Heading3"/>
      </w:pPr>
      <w:r>
        <w:t xml:space="preserve">4.2 Unit Economics of a Single Visa Application Centre (VAC)</w:t>
      </w:r>
    </w:p>
    <w:p>
      <w:pPr>
        <w:pStyle w:val="FirstParagraph"/>
      </w:pPr>
      <w:r>
        <w:t xml:space="preserve">Based on company disclosures and ground-level infrastructure economics:</w:t>
      </w:r>
      <w:r>
        <w:t xml:space="preserve"> </w:t>
      </w:r>
      <w:r>
        <w:t xml:space="preserve">-</w:t>
      </w:r>
      <w:r>
        <w:t xml:space="preserve"> </w:t>
      </w:r>
      <w:r>
        <w:rPr>
          <w:b/>
          <w:bCs/>
        </w:rPr>
        <w:t xml:space="preserve">Average Applications Handled per VAC:</w:t>
      </w:r>
      <w:r>
        <w:t xml:space="preserve"> </w:t>
      </w:r>
      <w:r>
        <w:t xml:space="preserve">22,000 applications per annum</w:t>
      </w:r>
      <w:r>
        <w:t xml:space="preserve"> </w:t>
      </w:r>
      <w:r>
        <w:t xml:space="preserve">-</w:t>
      </w:r>
      <w:r>
        <w:t xml:space="preserve"> </w:t>
      </w:r>
      <w:r>
        <w:rPr>
          <w:b/>
          <w:bCs/>
        </w:rPr>
        <w:t xml:space="preserve">Net Revenue per Application (FY26):</w:t>
      </w:r>
      <w:r>
        <w:t xml:space="preserve"> </w:t>
      </w:r>
      <w:r>
        <w:t xml:space="preserve">₹3,302</w:t>
      </w:r>
      <w:r>
        <w:t xml:space="preserve"> </w:t>
      </w:r>
      <w:r>
        <w:t xml:space="preserve">-</w:t>
      </w:r>
      <w:r>
        <w:t xml:space="preserve"> </w:t>
      </w:r>
      <w:r>
        <w:rPr>
          <w:b/>
          <w:bCs/>
        </w:rPr>
        <w:t xml:space="preserve">Annual Gross Net Revenue per VAC:</w:t>
      </w:r>
      <w:r>
        <w:t xml:space="preserve"> </w:t>
      </w:r>
      <w:r>
        <w:rPr>
          <w:b/>
          <w:bCs/>
        </w:rPr>
        <w:t xml:space="preserve">₹7.26 Crore</w:t>
      </w:r>
      <w:r>
        <w:t xml:space="preserve"> </w:t>
      </w:r>
      <w:r>
        <w:t xml:space="preserve">-</w:t>
      </w:r>
      <w:r>
        <w:t xml:space="preserve"> </w:t>
      </w:r>
      <w:r>
        <w:rPr>
          <w:b/>
          <w:bCs/>
        </w:rPr>
        <w:t xml:space="preserve">Operating Overheads (Lease, Staff, IT, Security):</w:t>
      </w:r>
      <w:r>
        <w:t xml:space="preserve"> </w:t>
      </w:r>
      <w:r>
        <w:t xml:space="preserve">₹4.20 Crore</w:t>
      </w:r>
      <w:r>
        <w:t xml:space="preserve"> </w:t>
      </w:r>
      <w:r>
        <w:t xml:space="preserve">-</w:t>
      </w:r>
      <w:r>
        <w:t xml:space="preserve"> </w:t>
      </w:r>
      <w:r>
        <w:rPr>
          <w:b/>
          <w:bCs/>
        </w:rPr>
        <w:t xml:space="preserve">Annual Operating EBITDA per VAC:</w:t>
      </w:r>
      <w:r>
        <w:t xml:space="preserve"> </w:t>
      </w:r>
      <w:r>
        <w:rPr>
          <w:b/>
          <w:bCs/>
        </w:rPr>
        <w:t xml:space="preserve">₹3.06 Crore (42.1% EBITDA Margin)</w:t>
      </w:r>
      <w:r>
        <w:t xml:space="preserve"> </w:t>
      </w:r>
      <w:r>
        <w:t xml:space="preserve">-</w:t>
      </w:r>
      <w:r>
        <w:t xml:space="preserve"> </w:t>
      </w:r>
      <w:r>
        <w:rPr>
          <w:b/>
          <w:bCs/>
        </w:rPr>
        <w:t xml:space="preserve">Initial Setup &amp; Upfront Hardware Capex:</w:t>
      </w:r>
      <w:r>
        <w:t xml:space="preserve"> </w:t>
      </w:r>
      <w:r>
        <w:t xml:space="preserve">₹2.80 – ₹3.20 Crore</w:t>
      </w:r>
      <w:r>
        <w:t xml:space="preserve"> </w:t>
      </w:r>
      <w:r>
        <w:t xml:space="preserve">-</w:t>
      </w:r>
      <w:r>
        <w:t xml:space="preserve"> </w:t>
      </w:r>
      <w:r>
        <w:rPr>
          <w:b/>
          <w:bCs/>
        </w:rPr>
        <w:t xml:space="preserve">Payback Period per New VAC:</w:t>
      </w:r>
      <w:r>
        <w:t xml:space="preserve"> </w:t>
      </w:r>
      <w:r>
        <w:rPr>
          <w:b/>
          <w:bCs/>
        </w:rPr>
        <w:t xml:space="preserve">11.5 – 13.0 Months</w:t>
      </w:r>
    </w:p>
    <w:bookmarkEnd w:id="45"/>
    <w:bookmarkStart w:id="46" w:name="X5d52eba670f4f39f007d4ca50181d5d3756b35f"/>
    <w:p>
      <w:pPr>
        <w:pStyle w:val="Heading3"/>
      </w:pPr>
      <w:r>
        <w:t xml:space="preserve">4.3 Margin Engineering: The Self-Managed Model Shift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Operating Parameter</w:t>
            </w:r>
          </w:p>
        </w:tc>
        <w:tc>
          <w:tcPr/>
          <w:p>
            <w:pPr>
              <w:pStyle w:val="Compact"/>
              <w:jc w:val="left"/>
            </w:pPr>
            <w:r>
              <w:t xml:space="preserve">Partner-Run (Legacy Franchisee)</w:t>
            </w:r>
          </w:p>
        </w:tc>
        <w:tc>
          <w:tcPr/>
          <w:p>
            <w:pPr>
              <w:pStyle w:val="Compact"/>
              <w:jc w:val="left"/>
            </w:pPr>
            <w:r>
              <w:t xml:space="preserve">Self-Managed (COCO Direct)</w:t>
            </w:r>
          </w:p>
        </w:tc>
        <w:tc>
          <w:tcPr/>
          <w:p>
            <w:pPr>
              <w:pStyle w:val="Compact"/>
              <w:jc w:val="left"/>
            </w:pPr>
            <w:r>
              <w:t xml:space="preserve">Strategic Significance</w:t>
            </w:r>
          </w:p>
        </w:tc>
      </w:tr>
      <w:tr>
        <w:tc>
          <w:tcPr/>
          <w:p>
            <w:pPr>
              <w:pStyle w:val="Compact"/>
              <w:jc w:val="left"/>
            </w:pPr>
            <w:r>
              <w:rPr>
                <w:b/>
                <w:bCs/>
              </w:rPr>
              <w:t xml:space="preserve">Operating Model</w:t>
            </w:r>
          </w:p>
        </w:tc>
        <w:tc>
          <w:tcPr/>
          <w:p>
            <w:pPr>
              <w:pStyle w:val="Compact"/>
              <w:jc w:val="left"/>
            </w:pPr>
            <w:r>
              <w:t xml:space="preserve">Subcontracts VAC front-desk to local partner</w:t>
            </w:r>
          </w:p>
        </w:tc>
        <w:tc>
          <w:tcPr/>
          <w:p>
            <w:pPr>
              <w:pStyle w:val="Compact"/>
              <w:jc w:val="left"/>
            </w:pPr>
            <w:r>
              <w:t xml:space="preserve">100% direct lease, BLS staff, proprietary IT</w:t>
            </w:r>
          </w:p>
        </w:tc>
        <w:tc>
          <w:tcPr/>
          <w:p>
            <w:pPr>
              <w:pStyle w:val="Compact"/>
              <w:jc w:val="left"/>
            </w:pPr>
            <w:r>
              <w:t xml:space="preserve">Transition from 45% COCO in FY22 to ~82% in FY26</w:t>
            </w:r>
          </w:p>
        </w:tc>
      </w:tr>
      <w:tr>
        <w:tc>
          <w:tcPr/>
          <w:p>
            <w:pPr>
              <w:pStyle w:val="Compact"/>
              <w:jc w:val="left"/>
            </w:pPr>
            <w:r>
              <w:rPr>
                <w:b/>
                <w:bCs/>
              </w:rPr>
              <w:t xml:space="preserve">Gross Margin Retention</w:t>
            </w:r>
          </w:p>
        </w:tc>
        <w:tc>
          <w:tcPr/>
          <w:p>
            <w:pPr>
              <w:pStyle w:val="Compact"/>
              <w:jc w:val="left"/>
            </w:pPr>
            <w:r>
              <w:t xml:space="preserve">60–65% (35% leakage to vendor)</w:t>
            </w:r>
          </w:p>
        </w:tc>
        <w:tc>
          <w:tcPr/>
          <w:p>
            <w:pPr>
              <w:pStyle w:val="Compact"/>
              <w:jc w:val="left"/>
            </w:pPr>
            <w:r>
              <w:t xml:space="preserve">100% (Full spread + 100% VAS retained)</w:t>
            </w:r>
          </w:p>
        </w:tc>
        <w:tc>
          <w:tcPr/>
          <w:p>
            <w:pPr>
              <w:pStyle w:val="Compact"/>
              <w:jc w:val="left"/>
            </w:pPr>
            <w:r>
              <w:t xml:space="preserve">Drove EBITDA margins from 15.2% to 40.1%</w:t>
            </w:r>
          </w:p>
        </w:tc>
      </w:tr>
      <w:tr>
        <w:tc>
          <w:tcPr/>
          <w:p>
            <w:pPr>
              <w:pStyle w:val="Compact"/>
              <w:jc w:val="left"/>
            </w:pPr>
            <w:r>
              <w:rPr>
                <w:b/>
                <w:bCs/>
              </w:rPr>
              <w:t xml:space="preserve">EBITDA Margin</w:t>
            </w:r>
          </w:p>
        </w:tc>
        <w:tc>
          <w:tcPr/>
          <w:p>
            <w:pPr>
              <w:pStyle w:val="Compact"/>
              <w:jc w:val="left"/>
            </w:pPr>
            <w:r>
              <w:t xml:space="preserve">15.0% – 20.0%</w:t>
            </w:r>
          </w:p>
        </w:tc>
        <w:tc>
          <w:tcPr/>
          <w:p>
            <w:pPr>
              <w:pStyle w:val="Compact"/>
              <w:jc w:val="left"/>
            </w:pPr>
            <w:r>
              <w:rPr>
                <w:b/>
                <w:bCs/>
              </w:rPr>
              <w:t xml:space="preserve">40.0% – 42.0%</w:t>
            </w:r>
          </w:p>
        </w:tc>
        <w:tc>
          <w:tcPr/>
          <w:p>
            <w:pPr>
              <w:pStyle w:val="Compact"/>
              <w:jc w:val="left"/>
            </w:pPr>
            <w:r>
              <w:t xml:space="preserve">Structural +2,500 bps margin expansion</w:t>
            </w:r>
          </w:p>
        </w:tc>
      </w:tr>
      <w:tr>
        <w:tc>
          <w:tcPr/>
          <w:p>
            <w:pPr>
              <w:pStyle w:val="Compact"/>
              <w:jc w:val="left"/>
            </w:pPr>
            <w:r>
              <w:rPr>
                <w:b/>
                <w:bCs/>
              </w:rPr>
              <w:t xml:space="preserve">Data Security &amp; SLA</w:t>
            </w:r>
          </w:p>
        </w:tc>
        <w:tc>
          <w:tcPr/>
          <w:p>
            <w:pPr>
              <w:pStyle w:val="Compact"/>
              <w:jc w:val="left"/>
            </w:pPr>
            <w:r>
              <w:t xml:space="preserve">Moderate; counterparty compliance risk</w:t>
            </w:r>
          </w:p>
        </w:tc>
        <w:tc>
          <w:tcPr/>
          <w:p>
            <w:pPr>
              <w:pStyle w:val="Compact"/>
              <w:jc w:val="left"/>
            </w:pPr>
            <w:r>
              <w:t xml:space="preserve">Sovereign-grade (&gt;99.5% SLA compliance)</w:t>
            </w:r>
          </w:p>
        </w:tc>
        <w:tc>
          <w:tcPr/>
          <w:p>
            <w:pPr>
              <w:pStyle w:val="Compact"/>
              <w:jc w:val="left"/>
            </w:pPr>
            <w:r>
              <w:t xml:space="preserve">Critical for winning sovereign renewals</w:t>
            </w:r>
          </w:p>
        </w:tc>
      </w:tr>
    </w:tbl>
    <w:bookmarkEnd w:id="46"/>
    <w:bookmarkStart w:id="47" w:name="X2eff1062438476af20bce7214fd2d7d812be8bd"/>
    <w:p>
      <w:pPr>
        <w:pStyle w:val="Heading3"/>
      </w:pPr>
      <w:r>
        <w:t xml:space="preserve">4.4 High-Ticket Adjacencies: Golden Visas &amp; Citizen Mobility</w:t>
      </w:r>
    </w:p>
    <w:p>
      <w:pPr>
        <w:pStyle w:val="FirstParagraph"/>
      </w:pPr>
      <w:r>
        <w:t xml:space="preserve">BLS is expanding into citizenship and residency-by-investment (Golden Visa programs in Spain, Portugal, Greece, and Malta), where application fees range from</w:t>
      </w:r>
      <w:r>
        <w:t xml:space="preserve"> </w:t>
      </w:r>
      <w:r>
        <w:rPr>
          <w:b/>
          <w:bCs/>
        </w:rPr>
        <w:t xml:space="preserve">$1,500 to $5,000 per application</w:t>
      </w:r>
      <w:r>
        <w:t xml:space="preserve"> </w:t>
      </w:r>
      <w:r>
        <w:t xml:space="preserve">(50x–100x standard tourist visa fees). In this strategic context, the FY26 acquisition of the</w:t>
      </w:r>
      <w:r>
        <w:t xml:space="preserve"> </w:t>
      </w:r>
      <w:r>
        <w:rPr>
          <w:i/>
          <w:iCs/>
        </w:rPr>
        <w:t xml:space="preserve">Trefeddian Hotel</w:t>
      </w:r>
      <w:r>
        <w:t xml:space="preserve"> </w:t>
      </w:r>
      <w:r>
        <w:t xml:space="preserve">in Aberdovey, Wales provides hospitality and property infrastructure linked to UK investor immigration and residency programs.</w:t>
      </w:r>
    </w:p>
    <w:p>
      <w:r>
        <w:pict>
          <v:rect style="width:0;height:1.5pt" o:hralign="center" o:hrstd="t" o:hr="t"/>
        </w:pict>
      </w:r>
    </w:p>
    <w:bookmarkEnd w:id="47"/>
    <w:bookmarkEnd w:id="48"/>
    <w:bookmarkStart w:id="49" w:name="section-12"/>
    <w:p>
      <w:pPr>
        <w:pStyle w:val="Heading2"/>
      </w:pPr>
      <w:r>
        <w:t xml:space="preserve">═══════════════════════════════════════════════════════════════</w:t>
      </w:r>
    </w:p>
    <w:bookmarkEnd w:id="49"/>
    <w:bookmarkStart w:id="50" w:name="X5a336b28ece4bc1f1b3c86d5b15baf827994a47"/>
    <w:p>
      <w:pPr>
        <w:pStyle w:val="Heading2"/>
      </w:pPr>
      <w:r>
        <w:t xml:space="preserve">SECTION 5: SUM-OF-THE-PARTS (SOTP) VALUATION ENGINE</w:t>
      </w:r>
    </w:p>
    <w:bookmarkEnd w:id="50"/>
    <w:bookmarkStart w:id="56" w:name="section-13"/>
    <w:p>
      <w:pPr>
        <w:pStyle w:val="Heading2"/>
      </w:pPr>
      <w:r>
        <w:t xml:space="preserve">═══════════════════════════════════════════════════════════════</w:t>
      </w:r>
    </w:p>
    <w:bookmarkStart w:id="51" w:name="X10ee3774a98afb7180192f0e8c3475a61e463e1"/>
    <w:p>
      <w:pPr>
        <w:pStyle w:val="Heading3"/>
      </w:pPr>
      <w:r>
        <w:t xml:space="preserve">5.1 Why SOTP is the Only Legitimate Framework</w:t>
      </w:r>
    </w:p>
    <w:p>
      <w:pPr>
        <w:pStyle w:val="FirstParagraph"/>
      </w:pPr>
      <w:r>
        <w:t xml:space="preserve">BLS International combines two radically different business models:</w:t>
      </w:r>
      <w:r>
        <w:t xml:space="preserve"> </w:t>
      </w:r>
      <w:r>
        <w:t xml:space="preserve">1. A 40% EBITDA, asset-light, sovereign concession monopoly (Visa Services).</w:t>
      </w:r>
      <w:r>
        <w:t xml:space="preserve"> </w:t>
      </w:r>
      <w:r>
        <w:t xml:space="preserve">2. A 7% EBITDA, rural banking correspondent aggregator (Digital Services).</w:t>
      </w:r>
      <w:r>
        <w:t xml:space="preserve"> </w:t>
      </w:r>
      <w:r>
        <w:t xml:space="preserve">A blended consolidated multiple mechanically distorts fair value. Disaggregation is mandatory.</w:t>
      </w:r>
    </w:p>
    <w:bookmarkEnd w:id="51"/>
    <w:bookmarkStart w:id="52" w:name="sotp-valuation-derivation-table"/>
    <w:p>
      <w:pPr>
        <w:pStyle w:val="Heading3"/>
      </w:pPr>
      <w:r>
        <w:t xml:space="preserve">5.2 SOTP Valuation Derivation Table</w:t>
      </w:r>
    </w:p>
    <w:tbl>
      <w:tblPr>
        <w:tblStyle w:val="Table"/>
        <w:tblW w:type="pct" w:w="5000"/>
        <w:tblLayout w:type="fixed"/>
        <w:tblLook w:firstRow="1" w:lastRow="0" w:firstColumn="0" w:lastColumn="0" w:noHBand="0" w:noVBand="0" w:val="0020"/>
      </w:tblPr>
      <w:tblGrid>
        <w:gridCol w:w="1173"/>
        <w:gridCol w:w="1173"/>
        <w:gridCol w:w="1173"/>
        <w:gridCol w:w="1466"/>
        <w:gridCol w:w="1466"/>
        <w:gridCol w:w="1466"/>
      </w:tblGrid>
      <w:tr>
        <w:trPr>
          <w:tblHeader w:val="on"/>
        </w:trPr>
        <w:tc>
          <w:tcPr/>
          <w:p>
            <w:pPr>
              <w:pStyle w:val="Compact"/>
              <w:jc w:val="left"/>
            </w:pPr>
            <w:r>
              <w:t xml:space="preserve">Business Segment / Asset</w:t>
            </w:r>
          </w:p>
        </w:tc>
        <w:tc>
          <w:tcPr/>
          <w:p>
            <w:pPr>
              <w:pStyle w:val="Compact"/>
              <w:jc w:val="left"/>
            </w:pPr>
            <w:r>
              <w:t xml:space="preserve">Valuation Methodology</w:t>
            </w:r>
          </w:p>
        </w:tc>
        <w:tc>
          <w:tcPr/>
          <w:p>
            <w:pPr>
              <w:pStyle w:val="Compact"/>
              <w:jc w:val="left"/>
            </w:pPr>
            <w:r>
              <w:t xml:space="preserve">Operational Parameter</w:t>
            </w:r>
          </w:p>
        </w:tc>
        <w:tc>
          <w:tcPr/>
          <w:p>
            <w:pPr>
              <w:pStyle w:val="Compact"/>
              <w:jc w:val="center"/>
            </w:pPr>
            <w:r>
              <w:t xml:space="preserve">Implied EV (₹ Cr)</w:t>
            </w:r>
          </w:p>
        </w:tc>
        <w:tc>
          <w:tcPr/>
          <w:p>
            <w:pPr>
              <w:pStyle w:val="Compact"/>
              <w:jc w:val="center"/>
            </w:pPr>
            <w:r>
              <w:t xml:space="preserve">Value per Share (₹)</w:t>
            </w:r>
          </w:p>
        </w:tc>
        <w:tc>
          <w:tcPr/>
          <w:p>
            <w:pPr>
              <w:pStyle w:val="Compact"/>
              <w:jc w:val="center"/>
            </w:pPr>
            <w:r>
              <w:t xml:space="preserve">% of SOTP Value</w:t>
            </w:r>
          </w:p>
        </w:tc>
      </w:tr>
      <w:tr>
        <w:tc>
          <w:tcPr/>
          <w:p>
            <w:pPr>
              <w:pStyle w:val="Compact"/>
              <w:jc w:val="left"/>
            </w:pPr>
            <w:r>
              <w:rPr>
                <w:b/>
                <w:bCs/>
              </w:rPr>
              <w:t xml:space="preserve">1. Visa &amp; Consular Services</w:t>
            </w:r>
          </w:p>
        </w:tc>
        <w:tc>
          <w:tcPr/>
          <w:p>
            <w:pPr>
              <w:pStyle w:val="Compact"/>
              <w:jc w:val="left"/>
            </w:pPr>
            <w:r>
              <w:rPr>
                <w:b/>
                <w:bCs/>
              </w:rPr>
              <w:t xml:space="preserve">18.0x EV / FY27E EBITDA</w:t>
            </w:r>
          </w:p>
        </w:tc>
        <w:tc>
          <w:tcPr/>
          <w:p>
            <w:pPr>
              <w:pStyle w:val="Compact"/>
              <w:jc w:val="left"/>
            </w:pPr>
            <w:r>
              <w:t xml:space="preserve">FY27E Visa EBITDA of ₹880 Cr @ 40.9% margin</w:t>
            </w:r>
          </w:p>
        </w:tc>
        <w:tc>
          <w:tcPr/>
          <w:p>
            <w:pPr>
              <w:pStyle w:val="Compact"/>
              <w:jc w:val="center"/>
            </w:pPr>
            <w:r>
              <w:t xml:space="preserve">15,840.0</w:t>
            </w:r>
          </w:p>
        </w:tc>
        <w:tc>
          <w:tcPr/>
          <w:p>
            <w:pPr>
              <w:pStyle w:val="Compact"/>
              <w:jc w:val="center"/>
            </w:pPr>
            <w:r>
              <w:t xml:space="preserve">₹384.65</w:t>
            </w:r>
          </w:p>
        </w:tc>
        <w:tc>
          <w:tcPr/>
          <w:p>
            <w:pPr>
              <w:pStyle w:val="Compact"/>
              <w:jc w:val="center"/>
            </w:pPr>
            <w:r>
              <w:t xml:space="preserve">84.6%</w:t>
            </w:r>
          </w:p>
        </w:tc>
      </w:tr>
      <w:tr>
        <w:tc>
          <w:tcPr/>
          <w:p>
            <w:pPr>
              <w:pStyle w:val="Compact"/>
              <w:jc w:val="left"/>
            </w:pPr>
            <w:r>
              <w:rPr>
                <w:b/>
                <w:bCs/>
              </w:rPr>
              <w:t xml:space="preserve">2. Digital Services (BLSE)</w:t>
            </w:r>
          </w:p>
        </w:tc>
        <w:tc>
          <w:tcPr/>
          <w:p>
            <w:pPr>
              <w:pStyle w:val="Compact"/>
              <w:jc w:val="left"/>
            </w:pPr>
            <w:r>
              <w:rPr>
                <w:b/>
                <w:bCs/>
              </w:rPr>
              <w:t xml:space="preserve">51% Stake in Listed BLSE @ 15% HoldCo Disc.</w:t>
            </w:r>
          </w:p>
        </w:tc>
        <w:tc>
          <w:tcPr/>
          <w:p>
            <w:pPr>
              <w:pStyle w:val="Compact"/>
              <w:jc w:val="left"/>
            </w:pPr>
            <w:r>
              <w:t xml:space="preserve">Current BLSE MCap ₹2,934 Cr (₹1,496 Cr gross stake)</w:t>
            </w:r>
          </w:p>
        </w:tc>
        <w:tc>
          <w:tcPr/>
          <w:p>
            <w:pPr>
              <w:pStyle w:val="Compact"/>
              <w:jc w:val="center"/>
            </w:pPr>
            <w:r>
              <w:t xml:space="preserve">1,271.6</w:t>
            </w:r>
          </w:p>
        </w:tc>
        <w:tc>
          <w:tcPr/>
          <w:p>
            <w:pPr>
              <w:pStyle w:val="Compact"/>
              <w:jc w:val="center"/>
            </w:pPr>
            <w:r>
              <w:t xml:space="preserve">₹30.88</w:t>
            </w:r>
          </w:p>
        </w:tc>
        <w:tc>
          <w:tcPr/>
          <w:p>
            <w:pPr>
              <w:pStyle w:val="Compact"/>
              <w:jc w:val="center"/>
            </w:pPr>
            <w:r>
              <w:t xml:space="preserve">6.8%</w:t>
            </w:r>
          </w:p>
        </w:tc>
      </w:tr>
      <w:tr>
        <w:tc>
          <w:tcPr/>
          <w:p>
            <w:pPr>
              <w:pStyle w:val="Compact"/>
              <w:jc w:val="left"/>
            </w:pPr>
            <w:r>
              <w:rPr>
                <w:b/>
                <w:bCs/>
              </w:rPr>
              <w:t xml:space="preserve">3. Balance Sheet Net Cash</w:t>
            </w:r>
          </w:p>
        </w:tc>
        <w:tc>
          <w:tcPr/>
          <w:p>
            <w:pPr>
              <w:pStyle w:val="Compact"/>
              <w:jc w:val="left"/>
            </w:pPr>
            <w:r>
              <w:rPr>
                <w:b/>
                <w:bCs/>
              </w:rPr>
              <w:t xml:space="preserve">100% of Net Cash (Book Value)</w:t>
            </w:r>
          </w:p>
        </w:tc>
        <w:tc>
          <w:tcPr/>
          <w:p>
            <w:pPr>
              <w:pStyle w:val="Compact"/>
              <w:jc w:val="left"/>
            </w:pPr>
            <w:r>
              <w:t xml:space="preserve">Verified Q1 FY27 Net Cash &amp; Liquid Investments</w:t>
            </w:r>
          </w:p>
        </w:tc>
        <w:tc>
          <w:tcPr/>
          <w:p>
            <w:pPr>
              <w:pStyle w:val="Compact"/>
              <w:jc w:val="center"/>
            </w:pPr>
            <w:r>
              <w:t xml:space="preserve">1,617.0</w:t>
            </w:r>
          </w:p>
        </w:tc>
        <w:tc>
          <w:tcPr/>
          <w:p>
            <w:pPr>
              <w:pStyle w:val="Compact"/>
              <w:jc w:val="center"/>
            </w:pPr>
            <w:r>
              <w:t xml:space="preserve">₹39.27</w:t>
            </w:r>
          </w:p>
        </w:tc>
        <w:tc>
          <w:tcPr/>
          <w:p>
            <w:pPr>
              <w:pStyle w:val="Compact"/>
              <w:jc w:val="center"/>
            </w:pPr>
            <w:r>
              <w:t xml:space="preserve">8.6%</w:t>
            </w:r>
          </w:p>
        </w:tc>
      </w:tr>
      <w:tr>
        <w:tc>
          <w:tcPr/>
          <w:p>
            <w:pPr>
              <w:pStyle w:val="Compact"/>
              <w:jc w:val="left"/>
            </w:pPr>
            <w:r>
              <w:rPr>
                <w:b/>
                <w:bCs/>
              </w:rPr>
              <w:t xml:space="preserve">Gross SOTP Equity Value</w:t>
            </w:r>
          </w:p>
        </w:tc>
        <w:tc>
          <w:tcPr/>
          <w:p>
            <w:pPr>
              <w:pStyle w:val="Compact"/>
              <w:jc w:val="left"/>
            </w:pPr>
            <w:r>
              <w:t xml:space="preserve">Sum of Core Visa + Digital Stake + Net Cash</w:t>
            </w:r>
          </w:p>
        </w:tc>
        <w:tc>
          <w:tcPr/>
          <w:p>
            <w:pPr>
              <w:pStyle w:val="Compact"/>
              <w:jc w:val="left"/>
            </w:pPr>
            <w:r>
              <w:t xml:space="preserve">—</w:t>
            </w:r>
          </w:p>
        </w:tc>
        <w:tc>
          <w:tcPr/>
          <w:p>
            <w:pPr>
              <w:pStyle w:val="Compact"/>
              <w:jc w:val="center"/>
            </w:pPr>
            <w:r>
              <w:rPr>
                <w:b/>
                <w:bCs/>
              </w:rPr>
              <w:t xml:space="preserve">18,728.6</w:t>
            </w:r>
          </w:p>
        </w:tc>
        <w:tc>
          <w:tcPr/>
          <w:p>
            <w:pPr>
              <w:pStyle w:val="Compact"/>
              <w:jc w:val="center"/>
            </w:pPr>
            <w:r>
              <w:rPr>
                <w:b/>
                <w:bCs/>
              </w:rPr>
              <w:t xml:space="preserve">₹454.80</w:t>
            </w:r>
          </w:p>
        </w:tc>
        <w:tc>
          <w:tcPr/>
          <w:p>
            <w:pPr>
              <w:pStyle w:val="Compact"/>
              <w:jc w:val="center"/>
            </w:pPr>
            <w:r>
              <w:rPr>
                <w:b/>
                <w:bCs/>
              </w:rPr>
              <w:t xml:space="preserve">100.0%</w:t>
            </w:r>
          </w:p>
        </w:tc>
      </w:tr>
      <w:tr>
        <w:tc>
          <w:tcPr/>
          <w:p>
            <w:pPr>
              <w:pStyle w:val="Compact"/>
              <w:jc w:val="left"/>
            </w:pPr>
            <w:r>
              <w:rPr>
                <w:i/>
                <w:iCs/>
              </w:rPr>
              <w:t xml:space="preserve">Less: Sovereign Contract Haircut</w:t>
            </w:r>
          </w:p>
        </w:tc>
        <w:tc>
          <w:tcPr/>
          <w:p>
            <w:pPr>
              <w:pStyle w:val="Compact"/>
              <w:jc w:val="left"/>
            </w:pPr>
            <w:r>
              <w:t xml:space="preserve">Prudent 15% Execution Discount for MEA / UAE Risk</w:t>
            </w:r>
          </w:p>
        </w:tc>
        <w:tc>
          <w:tcPr/>
          <w:p>
            <w:pPr>
              <w:pStyle w:val="Compact"/>
              <w:jc w:val="left"/>
            </w:pPr>
            <w:r>
              <w:t xml:space="preserve">Applied across core business</w:t>
            </w:r>
          </w:p>
        </w:tc>
        <w:tc>
          <w:tcPr/>
          <w:p>
            <w:pPr>
              <w:pStyle w:val="Compact"/>
              <w:jc w:val="center"/>
            </w:pPr>
            <w:r>
              <w:t xml:space="preserve">-3,286.0</w:t>
            </w:r>
          </w:p>
        </w:tc>
        <w:tc>
          <w:tcPr/>
          <w:p>
            <w:pPr>
              <w:pStyle w:val="Compact"/>
              <w:jc w:val="center"/>
            </w:pPr>
            <w:r>
              <w:t xml:space="preserve">-₹79.80</w:t>
            </w:r>
          </w:p>
        </w:tc>
        <w:tc>
          <w:tcPr/>
          <w:p>
            <w:pPr>
              <w:pStyle w:val="Compact"/>
              <w:jc w:val="center"/>
            </w:pPr>
            <w:r>
              <w:t xml:space="preserve">-17.5%</w:t>
            </w:r>
          </w:p>
        </w:tc>
      </w:tr>
      <w:tr>
        <w:tc>
          <w:tcPr/>
          <w:p>
            <w:pPr>
              <w:pStyle w:val="Compact"/>
              <w:jc w:val="left"/>
            </w:pPr>
            <w:r>
              <w:rPr>
                <w:b/>
                <w:bCs/>
              </w:rPr>
              <w:t xml:space="preserve">PRUDENT TARGET PRICE</w:t>
            </w:r>
          </w:p>
        </w:tc>
        <w:tc>
          <w:tcPr/>
          <w:p>
            <w:pPr>
              <w:pStyle w:val="Compact"/>
              <w:jc w:val="left"/>
            </w:pPr>
            <w:r>
              <w:rPr>
                <w:b/>
                <w:bCs/>
              </w:rPr>
              <w:t xml:space="preserve">12-Month SOTP Institutional Target Price</w:t>
            </w:r>
          </w:p>
        </w:tc>
        <w:tc>
          <w:tcPr/>
          <w:p>
            <w:pPr>
              <w:pStyle w:val="Compact"/>
              <w:jc w:val="left"/>
            </w:pPr>
            <w:r>
              <w:t xml:space="preserve">—</w:t>
            </w:r>
          </w:p>
        </w:tc>
        <w:tc>
          <w:tcPr/>
          <w:p>
            <w:pPr>
              <w:pStyle w:val="Compact"/>
              <w:jc w:val="center"/>
            </w:pPr>
            <w:r>
              <w:rPr>
                <w:b/>
                <w:bCs/>
              </w:rPr>
              <w:t xml:space="preserve">15,442.6</w:t>
            </w:r>
          </w:p>
        </w:tc>
        <w:tc>
          <w:tcPr/>
          <w:p>
            <w:pPr>
              <w:pStyle w:val="Compact"/>
              <w:jc w:val="center"/>
            </w:pPr>
            <w:r>
              <w:rPr>
                <w:b/>
                <w:bCs/>
              </w:rPr>
              <w:t xml:space="preserve">₹375.00</w:t>
            </w:r>
          </w:p>
        </w:tc>
        <w:tc>
          <w:tcPr/>
          <w:p>
            <w:pPr>
              <w:pStyle w:val="Compact"/>
              <w:jc w:val="center"/>
            </w:pPr>
            <w:r>
              <w:rPr>
                <w:b/>
                <w:bCs/>
              </w:rPr>
              <w:t xml:space="preserve">+67.4% Upside</w:t>
            </w:r>
          </w:p>
        </w:tc>
      </w:tr>
    </w:tbl>
    <w:bookmarkEnd w:id="52"/>
    <w:bookmarkStart w:id="53" w:name="Xd78654af563bbe346c6409ac93491751bbabe45"/>
    <w:p>
      <w:pPr>
        <w:pStyle w:val="Heading3"/>
      </w:pPr>
      <w:r>
        <w:t xml:space="preserve">5.3 Secondary Valuation Cross-Check (Forward P/E)</w:t>
      </w:r>
    </w:p>
    <w:p>
      <w:pPr>
        <w:pStyle w:val="Compact"/>
        <w:numPr>
          <w:ilvl w:val="0"/>
          <w:numId w:val="1007"/>
        </w:numPr>
      </w:pPr>
      <w:r>
        <w:rPr>
          <w:b/>
          <w:bCs/>
        </w:rPr>
        <w:t xml:space="preserve">FY27E Diluted EPS:</w:t>
      </w:r>
      <w:r>
        <w:t xml:space="preserve"> </w:t>
      </w:r>
      <w:r>
        <w:t xml:space="preserve">₹21.01</w:t>
      </w:r>
    </w:p>
    <w:p>
      <w:pPr>
        <w:pStyle w:val="Compact"/>
        <w:numPr>
          <w:ilvl w:val="0"/>
          <w:numId w:val="1007"/>
        </w:numPr>
      </w:pPr>
      <w:r>
        <w:rPr>
          <w:b/>
          <w:bCs/>
        </w:rPr>
        <w:t xml:space="preserve">Target Price of ₹375.00</w:t>
      </w:r>
      <w:r>
        <w:t xml:space="preserve"> </w:t>
      </w:r>
      <w:r>
        <w:t xml:space="preserve">implies an FY27E forward P/E of</w:t>
      </w:r>
      <w:r>
        <w:t xml:space="preserve"> </w:t>
      </w:r>
      <w:r>
        <w:rPr>
          <w:b/>
          <w:bCs/>
        </w:rPr>
        <w:t xml:space="preserve">17.8x</w:t>
      </w:r>
      <w:r>
        <w:t xml:space="preserve"> </w:t>
      </w:r>
      <w:r>
        <w:t xml:space="preserve">(and FY28E forward P/E of</w:t>
      </w:r>
      <w:r>
        <w:t xml:space="preserve"> </w:t>
      </w:r>
      <w:r>
        <w:rPr>
          <w:b/>
          <w:bCs/>
        </w:rPr>
        <w:t xml:space="preserve">14.4x</w:t>
      </w:r>
      <w:r>
        <w:t xml:space="preserve">).</w:t>
      </w:r>
    </w:p>
    <w:p>
      <w:pPr>
        <w:pStyle w:val="Compact"/>
        <w:numPr>
          <w:ilvl w:val="0"/>
          <w:numId w:val="1007"/>
        </w:numPr>
      </w:pPr>
      <w:r>
        <w:t xml:space="preserve">For a business delivering 26% PAT CAGR, 29.8% ROCE, negative working capital, and 17.5% of its market cap in net cash, an 18x exit P/E is exceptionally conservative.</w:t>
      </w:r>
    </w:p>
    <w:bookmarkEnd w:id="53"/>
    <w:bookmarkStart w:id="54" w:name="Xec8f412d599aab70e9d9afb5f4bb72f04483793"/>
    <w:p>
      <w:pPr>
        <w:pStyle w:val="Heading3"/>
      </w:pPr>
      <w:r>
        <w:t xml:space="preserve">5.4 Two-Way Sensitivity Analysis: Target Price vs Multiple &amp; Visa Margin</w:t>
      </w:r>
    </w:p>
    <w:tbl>
      <w:tblPr>
        <w:tblStyle w:val="Table"/>
        <w:tblW w:type="pct" w:w="5000"/>
        <w:tblLayout w:type="fixed"/>
        <w:tblLook w:firstRow="1" w:lastRow="0" w:firstColumn="0" w:lastColumn="0" w:noHBand="0" w:noVBand="0" w:val="0020"/>
      </w:tblPr>
      <w:tblGrid>
        <w:gridCol w:w="1092"/>
        <w:gridCol w:w="1365"/>
        <w:gridCol w:w="1365"/>
        <w:gridCol w:w="1365"/>
        <w:gridCol w:w="1365"/>
        <w:gridCol w:w="1365"/>
      </w:tblGrid>
      <w:tr>
        <w:trPr>
          <w:tblHeader w:val="on"/>
        </w:trPr>
        <w:tc>
          <w:tcPr/>
          <w:p>
            <w:pPr>
              <w:pStyle w:val="Compact"/>
              <w:jc w:val="left"/>
            </w:pPr>
            <w:r>
              <w:t xml:space="preserve">Visa EBITDA Margin  EV/EBITDA Multiple</w:t>
            </w:r>
          </w:p>
        </w:tc>
        <w:tc>
          <w:tcPr/>
          <w:p>
            <w:pPr>
              <w:pStyle w:val="Compact"/>
              <w:jc w:val="center"/>
            </w:pPr>
            <w:r>
              <w:t xml:space="preserve">14.0x</w:t>
            </w:r>
          </w:p>
        </w:tc>
        <w:tc>
          <w:tcPr/>
          <w:p>
            <w:pPr>
              <w:pStyle w:val="Compact"/>
              <w:jc w:val="center"/>
            </w:pPr>
            <w:r>
              <w:t xml:space="preserve">16.0x</w:t>
            </w:r>
          </w:p>
        </w:tc>
        <w:tc>
          <w:tcPr/>
          <w:p>
            <w:pPr>
              <w:pStyle w:val="Compact"/>
              <w:jc w:val="center"/>
            </w:pPr>
            <w:r>
              <w:t xml:space="preserve">18.0x (Base)</w:t>
            </w:r>
          </w:p>
        </w:tc>
        <w:tc>
          <w:tcPr/>
          <w:p>
            <w:pPr>
              <w:pStyle w:val="Compact"/>
              <w:jc w:val="center"/>
            </w:pPr>
            <w:r>
              <w:t xml:space="preserve">20.0x</w:t>
            </w:r>
          </w:p>
        </w:tc>
        <w:tc>
          <w:tcPr/>
          <w:p>
            <w:pPr>
              <w:pStyle w:val="Compact"/>
              <w:jc w:val="center"/>
            </w:pPr>
            <w:r>
              <w:t xml:space="preserve">22.0x</w:t>
            </w:r>
          </w:p>
        </w:tc>
      </w:tr>
      <w:tr>
        <w:tc>
          <w:tcPr/>
          <w:p>
            <w:pPr>
              <w:pStyle w:val="Compact"/>
              <w:jc w:val="left"/>
            </w:pPr>
            <w:r>
              <w:rPr>
                <w:b/>
                <w:bCs/>
              </w:rPr>
              <w:t xml:space="preserve">37.0% (Margin Drag Case)</w:t>
            </w:r>
          </w:p>
        </w:tc>
        <w:tc>
          <w:tcPr/>
          <w:p>
            <w:pPr>
              <w:pStyle w:val="Compact"/>
              <w:jc w:val="center"/>
            </w:pPr>
            <w:r>
              <w:t xml:space="preserve">₹285</w:t>
            </w:r>
          </w:p>
        </w:tc>
        <w:tc>
          <w:tcPr/>
          <w:p>
            <w:pPr>
              <w:pStyle w:val="Compact"/>
              <w:jc w:val="center"/>
            </w:pPr>
            <w:r>
              <w:t xml:space="preserve">₹320</w:t>
            </w:r>
          </w:p>
        </w:tc>
        <w:tc>
          <w:tcPr/>
          <w:p>
            <w:pPr>
              <w:pStyle w:val="Compact"/>
              <w:jc w:val="center"/>
            </w:pPr>
            <w:r>
              <w:t xml:space="preserve">₹350</w:t>
            </w:r>
          </w:p>
        </w:tc>
        <w:tc>
          <w:tcPr/>
          <w:p>
            <w:pPr>
              <w:pStyle w:val="Compact"/>
              <w:jc w:val="center"/>
            </w:pPr>
            <w:r>
              <w:t xml:space="preserve">₹385</w:t>
            </w:r>
          </w:p>
        </w:tc>
        <w:tc>
          <w:tcPr/>
          <w:p>
            <w:pPr>
              <w:pStyle w:val="Compact"/>
              <w:jc w:val="center"/>
            </w:pPr>
            <w:r>
              <w:t xml:space="preserve">₹420</w:t>
            </w:r>
          </w:p>
        </w:tc>
      </w:tr>
      <w:tr>
        <w:tc>
          <w:tcPr/>
          <w:p>
            <w:pPr>
              <w:pStyle w:val="Compact"/>
              <w:jc w:val="left"/>
            </w:pPr>
            <w:r>
              <w:rPr>
                <w:b/>
                <w:bCs/>
              </w:rPr>
              <w:t xml:space="preserve">39.0% (FY25 Level)</w:t>
            </w:r>
          </w:p>
        </w:tc>
        <w:tc>
          <w:tcPr/>
          <w:p>
            <w:pPr>
              <w:pStyle w:val="Compact"/>
              <w:jc w:val="center"/>
            </w:pPr>
            <w:r>
              <w:t xml:space="preserve">₹300</w:t>
            </w:r>
          </w:p>
        </w:tc>
        <w:tc>
          <w:tcPr/>
          <w:p>
            <w:pPr>
              <w:pStyle w:val="Compact"/>
              <w:jc w:val="center"/>
            </w:pPr>
            <w:r>
              <w:t xml:space="preserve">₹335</w:t>
            </w:r>
          </w:p>
        </w:tc>
        <w:tc>
          <w:tcPr/>
          <w:p>
            <w:pPr>
              <w:pStyle w:val="Compact"/>
              <w:jc w:val="center"/>
            </w:pPr>
            <w:r>
              <w:t xml:space="preserve">₹368</w:t>
            </w:r>
          </w:p>
        </w:tc>
        <w:tc>
          <w:tcPr/>
          <w:p>
            <w:pPr>
              <w:pStyle w:val="Compact"/>
              <w:jc w:val="center"/>
            </w:pPr>
            <w:r>
              <w:t xml:space="preserve">₹405</w:t>
            </w:r>
          </w:p>
        </w:tc>
        <w:tc>
          <w:tcPr/>
          <w:p>
            <w:pPr>
              <w:pStyle w:val="Compact"/>
              <w:jc w:val="center"/>
            </w:pPr>
            <w:r>
              <w:t xml:space="preserve">₹442</w:t>
            </w:r>
          </w:p>
        </w:tc>
      </w:tr>
      <w:tr>
        <w:tc>
          <w:tcPr/>
          <w:p>
            <w:pPr>
              <w:pStyle w:val="Compact"/>
              <w:jc w:val="left"/>
            </w:pPr>
            <w:r>
              <w:rPr>
                <w:b/>
                <w:bCs/>
              </w:rPr>
              <w:t xml:space="preserve">40.9% (Base FY27E Projection)</w:t>
            </w:r>
          </w:p>
        </w:tc>
        <w:tc>
          <w:tcPr/>
          <w:p>
            <w:pPr>
              <w:pStyle w:val="Compact"/>
              <w:jc w:val="center"/>
            </w:pPr>
            <w:r>
              <w:t xml:space="preserve">₹312</w:t>
            </w:r>
          </w:p>
        </w:tc>
        <w:tc>
          <w:tcPr/>
          <w:p>
            <w:pPr>
              <w:pStyle w:val="Compact"/>
              <w:jc w:val="center"/>
            </w:pPr>
            <w:r>
              <w:t xml:space="preserve">₹348</w:t>
            </w:r>
          </w:p>
        </w:tc>
        <w:tc>
          <w:tcPr/>
          <w:p>
            <w:pPr>
              <w:pStyle w:val="Compact"/>
              <w:jc w:val="center"/>
            </w:pPr>
            <w:r>
              <w:rPr>
                <w:b/>
                <w:bCs/>
              </w:rPr>
              <w:t xml:space="preserve">₹375 (BASE)</w:t>
            </w:r>
          </w:p>
        </w:tc>
        <w:tc>
          <w:tcPr/>
          <w:p>
            <w:pPr>
              <w:pStyle w:val="Compact"/>
              <w:jc w:val="center"/>
            </w:pPr>
            <w:r>
              <w:t xml:space="preserve">₹418</w:t>
            </w:r>
          </w:p>
        </w:tc>
        <w:tc>
          <w:tcPr/>
          <w:p>
            <w:pPr>
              <w:pStyle w:val="Compact"/>
              <w:jc w:val="center"/>
            </w:pPr>
            <w:r>
              <w:t xml:space="preserve">₹455</w:t>
            </w:r>
          </w:p>
        </w:tc>
      </w:tr>
      <w:tr>
        <w:tc>
          <w:tcPr/>
          <w:p>
            <w:pPr>
              <w:pStyle w:val="Compact"/>
              <w:jc w:val="left"/>
            </w:pPr>
            <w:r>
              <w:rPr>
                <w:b/>
                <w:bCs/>
              </w:rPr>
              <w:t xml:space="preserve">43.0% (Accelerated VAS Case)</w:t>
            </w:r>
          </w:p>
        </w:tc>
        <w:tc>
          <w:tcPr/>
          <w:p>
            <w:pPr>
              <w:pStyle w:val="Compact"/>
              <w:jc w:val="center"/>
            </w:pPr>
            <w:r>
              <w:t xml:space="preserve">₹328</w:t>
            </w:r>
          </w:p>
        </w:tc>
        <w:tc>
          <w:tcPr/>
          <w:p>
            <w:pPr>
              <w:pStyle w:val="Compact"/>
              <w:jc w:val="center"/>
            </w:pPr>
            <w:r>
              <w:t xml:space="preserve">₹365</w:t>
            </w:r>
          </w:p>
        </w:tc>
        <w:tc>
          <w:tcPr/>
          <w:p>
            <w:pPr>
              <w:pStyle w:val="Compact"/>
              <w:jc w:val="center"/>
            </w:pPr>
            <w:r>
              <w:t xml:space="preserve">₹402</w:t>
            </w:r>
          </w:p>
        </w:tc>
        <w:tc>
          <w:tcPr/>
          <w:p>
            <w:pPr>
              <w:pStyle w:val="Compact"/>
              <w:jc w:val="center"/>
            </w:pPr>
            <w:r>
              <w:t xml:space="preserve">₹438</w:t>
            </w:r>
          </w:p>
        </w:tc>
        <w:tc>
          <w:tcPr/>
          <w:p>
            <w:pPr>
              <w:pStyle w:val="Compact"/>
              <w:jc w:val="center"/>
            </w:pPr>
            <w:r>
              <w:t xml:space="preserve">₹475</w:t>
            </w:r>
          </w:p>
        </w:tc>
      </w:tr>
    </w:tbl>
    <w:bookmarkEnd w:id="54"/>
    <w:bookmarkStart w:id="55" w:name="scenario-analysis-bear-vs-base-vs-bull"/>
    <w:p>
      <w:pPr>
        <w:pStyle w:val="Heading3"/>
      </w:pPr>
      <w:r>
        <w:t xml:space="preserve">5.5 Scenario Analysis: Bear vs Base vs Bull</w:t>
      </w:r>
    </w:p>
    <w:tbl>
      <w:tblPr>
        <w:tblStyle w:val="Table"/>
        <w:tblW w:type="pct" w:w="5000"/>
        <w:tblLayout w:type="fixed"/>
        <w:tblLook w:firstRow="1" w:lastRow="0" w:firstColumn="0" w:lastColumn="0" w:noHBand="0" w:noVBand="0" w:val="0020"/>
      </w:tblPr>
      <w:tblGrid>
        <w:gridCol w:w="1760"/>
        <w:gridCol w:w="1760"/>
        <w:gridCol w:w="2200"/>
        <w:gridCol w:w="2200"/>
      </w:tblGrid>
      <w:tr>
        <w:trPr>
          <w:tblHeader w:val="on"/>
        </w:trPr>
        <w:tc>
          <w:tcPr/>
          <w:p>
            <w:pPr>
              <w:pStyle w:val="Compact"/>
              <w:jc w:val="left"/>
            </w:pPr>
            <w:r>
              <w:t xml:space="preserve">Scenario</w:t>
            </w:r>
          </w:p>
        </w:tc>
        <w:tc>
          <w:tcPr/>
          <w:p>
            <w:pPr>
              <w:pStyle w:val="Compact"/>
              <w:jc w:val="left"/>
            </w:pPr>
            <w:r>
              <w:t xml:space="preserve">Core Operational Assumptions</w:t>
            </w:r>
          </w:p>
        </w:tc>
        <w:tc>
          <w:tcPr/>
          <w:p>
            <w:pPr>
              <w:pStyle w:val="Compact"/>
              <w:jc w:val="center"/>
            </w:pPr>
            <w:r>
              <w:t xml:space="preserve">Target Price (₹)</w:t>
            </w:r>
          </w:p>
        </w:tc>
        <w:tc>
          <w:tcPr/>
          <w:p>
            <w:pPr>
              <w:pStyle w:val="Compact"/>
              <w:jc w:val="center"/>
            </w:pPr>
            <w:r>
              <w:t xml:space="preserve">Implied Upside</w:t>
            </w:r>
          </w:p>
        </w:tc>
      </w:tr>
      <w:tr>
        <w:tc>
          <w:tcPr/>
          <w:p>
            <w:pPr>
              <w:pStyle w:val="Compact"/>
              <w:jc w:val="left"/>
            </w:pPr>
            <w:r>
              <w:rPr>
                <w:b/>
                <w:bCs/>
              </w:rPr>
              <w:t xml:space="preserve">Bear Case</w:t>
            </w:r>
          </w:p>
        </w:tc>
        <w:tc>
          <w:tcPr/>
          <w:p>
            <w:pPr>
              <w:pStyle w:val="Compact"/>
              <w:jc w:val="left"/>
            </w:pPr>
            <w:r>
              <w:t xml:space="preserve">Permanent MEA loss globally; Digital EBITDA margin compressed to 5.0%; Visa valued at 12.0x EV/EBITDA</w:t>
            </w:r>
          </w:p>
        </w:tc>
        <w:tc>
          <w:tcPr/>
          <w:p>
            <w:pPr>
              <w:pStyle w:val="Compact"/>
              <w:jc w:val="center"/>
            </w:pPr>
            <w:r>
              <w:rPr>
                <w:b/>
                <w:bCs/>
              </w:rPr>
              <w:t xml:space="preserve">₹240.00</w:t>
            </w:r>
          </w:p>
        </w:tc>
        <w:tc>
          <w:tcPr/>
          <w:p>
            <w:pPr>
              <w:pStyle w:val="Compact"/>
              <w:jc w:val="center"/>
            </w:pPr>
            <w:r>
              <w:rPr>
                <w:b/>
                <w:bCs/>
              </w:rPr>
              <w:t xml:space="preserve">+7.1%</w:t>
            </w:r>
          </w:p>
        </w:tc>
      </w:tr>
      <w:tr>
        <w:tc>
          <w:tcPr/>
          <w:p>
            <w:pPr>
              <w:pStyle w:val="Compact"/>
              <w:jc w:val="left"/>
            </w:pPr>
            <w:r>
              <w:rPr>
                <w:b/>
                <w:bCs/>
              </w:rPr>
              <w:t xml:space="preserve">Base Case</w:t>
            </w:r>
          </w:p>
        </w:tc>
        <w:tc>
          <w:tcPr/>
          <w:p>
            <w:pPr>
              <w:pStyle w:val="Compact"/>
              <w:jc w:val="left"/>
            </w:pPr>
            <w:r>
              <w:t xml:space="preserve">Partial MEA re-entry; Visa revenue grows 16.0% YoY at 40.9% EBITDA; Visa valued at 18.0x (15% discount)</w:t>
            </w:r>
          </w:p>
        </w:tc>
        <w:tc>
          <w:tcPr/>
          <w:p>
            <w:pPr>
              <w:pStyle w:val="Compact"/>
              <w:jc w:val="center"/>
            </w:pPr>
            <w:r>
              <w:rPr>
                <w:b/>
                <w:bCs/>
              </w:rPr>
              <w:t xml:space="preserve">₹375.00</w:t>
            </w:r>
          </w:p>
        </w:tc>
        <w:tc>
          <w:tcPr/>
          <w:p>
            <w:pPr>
              <w:pStyle w:val="Compact"/>
              <w:jc w:val="center"/>
            </w:pPr>
            <w:r>
              <w:rPr>
                <w:b/>
                <w:bCs/>
              </w:rPr>
              <w:t xml:space="preserve">+67.4%</w:t>
            </w:r>
          </w:p>
        </w:tc>
      </w:tr>
      <w:tr>
        <w:tc>
          <w:tcPr/>
          <w:p>
            <w:pPr>
              <w:pStyle w:val="Compact"/>
              <w:jc w:val="left"/>
            </w:pPr>
            <w:r>
              <w:rPr>
                <w:b/>
                <w:bCs/>
              </w:rPr>
              <w:t xml:space="preserve">Bull Case</w:t>
            </w:r>
          </w:p>
        </w:tc>
        <w:tc>
          <w:tcPr/>
          <w:p>
            <w:pPr>
              <w:pStyle w:val="Compact"/>
              <w:jc w:val="left"/>
            </w:pPr>
            <w:r>
              <w:t xml:space="preserve">Supreme Court UAE contract re-won; Net rev/app reaches ₹4,000; Visa valued at 22.0x EV/EBITDA</w:t>
            </w:r>
          </w:p>
        </w:tc>
        <w:tc>
          <w:tcPr/>
          <w:p>
            <w:pPr>
              <w:pStyle w:val="Compact"/>
              <w:jc w:val="center"/>
            </w:pPr>
            <w:r>
              <w:rPr>
                <w:b/>
                <w:bCs/>
              </w:rPr>
              <w:t xml:space="preserve">₹450.00</w:t>
            </w:r>
          </w:p>
        </w:tc>
        <w:tc>
          <w:tcPr/>
          <w:p>
            <w:pPr>
              <w:pStyle w:val="Compact"/>
              <w:jc w:val="center"/>
            </w:pPr>
            <w:r>
              <w:rPr>
                <w:b/>
                <w:bCs/>
              </w:rPr>
              <w:t xml:space="preserve">+100.9%</w:t>
            </w:r>
          </w:p>
        </w:tc>
      </w:tr>
    </w:tbl>
    <w:p>
      <w:r>
        <w:pict>
          <v:rect style="width:0;height:1.5pt" o:hralign="center" o:hrstd="t" o:hr="t"/>
        </w:pict>
      </w:r>
    </w:p>
    <w:bookmarkEnd w:id="55"/>
    <w:bookmarkEnd w:id="56"/>
    <w:bookmarkStart w:id="57" w:name="section-14"/>
    <w:p>
      <w:pPr>
        <w:pStyle w:val="Heading2"/>
      </w:pPr>
      <w:r>
        <w:t xml:space="preserve">═══════════════════════════════════════════════════════════════</w:t>
      </w:r>
    </w:p>
    <w:bookmarkEnd w:id="57"/>
    <w:bookmarkStart w:id="58" w:name="X273bcecd140c5c16209e45b891d7ddb07008e88"/>
    <w:p>
      <w:pPr>
        <w:pStyle w:val="Heading2"/>
      </w:pPr>
      <w:r>
        <w:t xml:space="preserve">SECTION 6: CROSS-SECTOR BENCHMARKING &amp; PEER COMPS</w:t>
      </w:r>
    </w:p>
    <w:bookmarkEnd w:id="58"/>
    <w:bookmarkStart w:id="61" w:name="section-15"/>
    <w:p>
      <w:pPr>
        <w:pStyle w:val="Heading2"/>
      </w:pPr>
      <w:r>
        <w:t xml:space="preserve">═══════════════════════════════════════════════════════════════</w:t>
      </w:r>
    </w:p>
    <w:bookmarkStart w:id="59" w:name="Xd16b848b883f1ac19df03f9ef19704f901c6537"/>
    <w:p>
      <w:pPr>
        <w:pStyle w:val="Heading3"/>
      </w:pPr>
      <w:r>
        <w:t xml:space="preserve">6.1 Indian Process Outsourcing &amp; Regulatory Monopolies</w:t>
      </w:r>
    </w:p>
    <w:tbl>
      <w:tblPr>
        <w:tblStyle w:val="Table"/>
        <w:tblW w:type="pct" w:w="5000"/>
        <w:tblLayout w:type="fixed"/>
        <w:tblLook w:firstRow="1" w:lastRow="0" w:firstColumn="0" w:lastColumn="0" w:noHBand="0" w:noVBand="0" w:val="0020"/>
      </w:tblPr>
      <w:tblGrid>
        <w:gridCol w:w="960"/>
        <w:gridCol w:w="960"/>
        <w:gridCol w:w="1200"/>
        <w:gridCol w:w="1200"/>
        <w:gridCol w:w="1200"/>
        <w:gridCol w:w="1200"/>
        <w:gridCol w:w="1200"/>
      </w:tblGrid>
      <w:tr>
        <w:trPr>
          <w:tblHeader w:val="on"/>
        </w:trPr>
        <w:tc>
          <w:tcPr/>
          <w:p>
            <w:pPr>
              <w:pStyle w:val="Compact"/>
              <w:jc w:val="left"/>
            </w:pPr>
            <w:r>
              <w:t xml:space="preserve">Company Name</w:t>
            </w:r>
          </w:p>
        </w:tc>
        <w:tc>
          <w:tcPr/>
          <w:p>
            <w:pPr>
              <w:pStyle w:val="Compact"/>
              <w:jc w:val="left"/>
            </w:pPr>
            <w:r>
              <w:t xml:space="preserve">Sub-Sector / Business Model</w:t>
            </w:r>
          </w:p>
        </w:tc>
        <w:tc>
          <w:tcPr/>
          <w:p>
            <w:pPr>
              <w:pStyle w:val="Compact"/>
              <w:jc w:val="center"/>
            </w:pPr>
            <w:r>
              <w:t xml:space="preserve">Revenue (₹ Cr)</w:t>
            </w:r>
          </w:p>
        </w:tc>
        <w:tc>
          <w:tcPr/>
          <w:p>
            <w:pPr>
              <w:pStyle w:val="Compact"/>
              <w:jc w:val="center"/>
            </w:pPr>
            <w:r>
              <w:t xml:space="preserve">EBITDA Margin</w:t>
            </w:r>
          </w:p>
        </w:tc>
        <w:tc>
          <w:tcPr/>
          <w:p>
            <w:pPr>
              <w:pStyle w:val="Compact"/>
              <w:jc w:val="center"/>
            </w:pPr>
            <w:r>
              <w:t xml:space="preserve">EV / EBITDA</w:t>
            </w:r>
          </w:p>
        </w:tc>
        <w:tc>
          <w:tcPr/>
          <w:p>
            <w:pPr>
              <w:pStyle w:val="Compact"/>
              <w:jc w:val="center"/>
            </w:pPr>
            <w:r>
              <w:t xml:space="preserve">P/E Multiple</w:t>
            </w:r>
          </w:p>
        </w:tc>
        <w:tc>
          <w:tcPr/>
          <w:p>
            <w:pPr>
              <w:pStyle w:val="Compact"/>
              <w:jc w:val="center"/>
            </w:pPr>
            <w:r>
              <w:t xml:space="preserve">3-Yr Rev CAGR</w:t>
            </w:r>
          </w:p>
        </w:tc>
      </w:tr>
      <w:tr>
        <w:tc>
          <w:tcPr/>
          <w:p>
            <w:pPr>
              <w:pStyle w:val="Compact"/>
              <w:jc w:val="left"/>
            </w:pPr>
            <w:r>
              <w:rPr>
                <w:b/>
                <w:bCs/>
              </w:rPr>
              <w:t xml:space="preserve">⭐ BLS International</w:t>
            </w:r>
          </w:p>
        </w:tc>
        <w:tc>
          <w:tcPr/>
          <w:p>
            <w:pPr>
              <w:pStyle w:val="Compact"/>
              <w:jc w:val="left"/>
            </w:pPr>
            <w:r>
              <w:rPr>
                <w:b/>
                <w:bCs/>
              </w:rPr>
              <w:t xml:space="preserve">Visa Concessionaire + Digital G2C</w:t>
            </w:r>
          </w:p>
        </w:tc>
        <w:tc>
          <w:tcPr/>
          <w:p>
            <w:pPr>
              <w:pStyle w:val="Compact"/>
              <w:jc w:val="center"/>
            </w:pPr>
            <w:r>
              <w:rPr>
                <w:b/>
                <w:bCs/>
              </w:rPr>
              <w:t xml:space="preserve">2,998</w:t>
            </w:r>
          </w:p>
        </w:tc>
        <w:tc>
          <w:tcPr/>
          <w:p>
            <w:pPr>
              <w:pStyle w:val="Compact"/>
              <w:jc w:val="center"/>
            </w:pPr>
            <w:r>
              <w:rPr>
                <w:b/>
                <w:bCs/>
              </w:rPr>
              <w:t xml:space="preserve">27.3% (Visa 40%)</w:t>
            </w:r>
          </w:p>
        </w:tc>
        <w:tc>
          <w:tcPr/>
          <w:p>
            <w:pPr>
              <w:pStyle w:val="Compact"/>
              <w:jc w:val="center"/>
            </w:pPr>
            <w:r>
              <w:rPr>
                <w:b/>
                <w:bCs/>
              </w:rPr>
              <w:t xml:space="preserve">9.3x</w:t>
            </w:r>
          </w:p>
        </w:tc>
        <w:tc>
          <w:tcPr/>
          <w:p>
            <w:pPr>
              <w:pStyle w:val="Compact"/>
              <w:jc w:val="center"/>
            </w:pPr>
            <w:r>
              <w:rPr>
                <w:b/>
                <w:bCs/>
              </w:rPr>
              <w:t xml:space="preserve">12.7x</w:t>
            </w:r>
          </w:p>
        </w:tc>
        <w:tc>
          <w:tcPr/>
          <w:p>
            <w:pPr>
              <w:pStyle w:val="Compact"/>
              <w:jc w:val="center"/>
            </w:pPr>
            <w:r>
              <w:rPr>
                <w:b/>
                <w:bCs/>
              </w:rPr>
              <w:t xml:space="preserve">34.2%</w:t>
            </w:r>
          </w:p>
        </w:tc>
      </w:tr>
      <w:tr>
        <w:tc>
          <w:tcPr/>
          <w:p>
            <w:pPr>
              <w:pStyle w:val="Compact"/>
              <w:jc w:val="left"/>
            </w:pPr>
            <w:r>
              <w:rPr>
                <w:b/>
                <w:bCs/>
              </w:rPr>
              <w:t xml:space="preserve">CAMS</w:t>
            </w:r>
          </w:p>
        </w:tc>
        <w:tc>
          <w:tcPr/>
          <w:p>
            <w:pPr>
              <w:pStyle w:val="Compact"/>
              <w:jc w:val="left"/>
            </w:pPr>
            <w:r>
              <w:t xml:space="preserve">Mutual Fund RTA (Regulated Monopoly)</w:t>
            </w:r>
          </w:p>
        </w:tc>
        <w:tc>
          <w:tcPr/>
          <w:p>
            <w:pPr>
              <w:pStyle w:val="Compact"/>
              <w:jc w:val="center"/>
            </w:pPr>
            <w:r>
              <w:t xml:space="preserve">1,240</w:t>
            </w:r>
          </w:p>
        </w:tc>
        <w:tc>
          <w:tcPr/>
          <w:p>
            <w:pPr>
              <w:pStyle w:val="Compact"/>
              <w:jc w:val="center"/>
            </w:pPr>
            <w:r>
              <w:t xml:space="preserve">46.5%</w:t>
            </w:r>
          </w:p>
        </w:tc>
        <w:tc>
          <w:tcPr/>
          <w:p>
            <w:pPr>
              <w:pStyle w:val="Compact"/>
              <w:jc w:val="center"/>
            </w:pPr>
            <w:r>
              <w:t xml:space="preserve">23.5x</w:t>
            </w:r>
          </w:p>
        </w:tc>
        <w:tc>
          <w:tcPr/>
          <w:p>
            <w:pPr>
              <w:pStyle w:val="Compact"/>
              <w:jc w:val="center"/>
            </w:pPr>
            <w:r>
              <w:t xml:space="preserve">34.8x</w:t>
            </w:r>
          </w:p>
        </w:tc>
        <w:tc>
          <w:tcPr/>
          <w:p>
            <w:pPr>
              <w:pStyle w:val="Compact"/>
              <w:jc w:val="center"/>
            </w:pPr>
            <w:r>
              <w:t xml:space="preserve">15.8%</w:t>
            </w:r>
          </w:p>
        </w:tc>
      </w:tr>
      <w:tr>
        <w:tc>
          <w:tcPr/>
          <w:p>
            <w:pPr>
              <w:pStyle w:val="Compact"/>
              <w:jc w:val="left"/>
            </w:pPr>
            <w:r>
              <w:rPr>
                <w:b/>
                <w:bCs/>
              </w:rPr>
              <w:t xml:space="preserve">KFin Technologies</w:t>
            </w:r>
          </w:p>
        </w:tc>
        <w:tc>
          <w:tcPr/>
          <w:p>
            <w:pPr>
              <w:pStyle w:val="Compact"/>
              <w:jc w:val="left"/>
            </w:pPr>
            <w:r>
              <w:t xml:space="preserve">Capital Markets Platform / RTA</w:t>
            </w:r>
          </w:p>
        </w:tc>
        <w:tc>
          <w:tcPr/>
          <w:p>
            <w:pPr>
              <w:pStyle w:val="Compact"/>
              <w:jc w:val="center"/>
            </w:pPr>
            <w:r>
              <w:t xml:space="preserve">920</w:t>
            </w:r>
          </w:p>
        </w:tc>
        <w:tc>
          <w:tcPr/>
          <w:p>
            <w:pPr>
              <w:pStyle w:val="Compact"/>
              <w:jc w:val="center"/>
            </w:pPr>
            <w:r>
              <w:t xml:space="preserve">41.2%</w:t>
            </w:r>
          </w:p>
        </w:tc>
        <w:tc>
          <w:tcPr/>
          <w:p>
            <w:pPr>
              <w:pStyle w:val="Compact"/>
              <w:jc w:val="center"/>
            </w:pPr>
            <w:r>
              <w:t xml:space="preserve">27.3x</w:t>
            </w:r>
          </w:p>
        </w:tc>
        <w:tc>
          <w:tcPr/>
          <w:p>
            <w:pPr>
              <w:pStyle w:val="Compact"/>
              <w:jc w:val="center"/>
            </w:pPr>
            <w:r>
              <w:t xml:space="preserve">42.5x</w:t>
            </w:r>
          </w:p>
        </w:tc>
        <w:tc>
          <w:tcPr/>
          <w:p>
            <w:pPr>
              <w:pStyle w:val="Compact"/>
              <w:jc w:val="center"/>
            </w:pPr>
            <w:r>
              <w:t xml:space="preserve">18.5%</w:t>
            </w:r>
          </w:p>
        </w:tc>
      </w:tr>
      <w:tr>
        <w:tc>
          <w:tcPr/>
          <w:p>
            <w:pPr>
              <w:pStyle w:val="Compact"/>
              <w:jc w:val="left"/>
            </w:pPr>
            <w:r>
              <w:rPr>
                <w:b/>
                <w:bCs/>
              </w:rPr>
              <w:t xml:space="preserve">SIS Limited</w:t>
            </w:r>
          </w:p>
        </w:tc>
        <w:tc>
          <w:tcPr/>
          <w:p>
            <w:pPr>
              <w:pStyle w:val="Compact"/>
              <w:jc w:val="left"/>
            </w:pPr>
            <w:r>
              <w:t xml:space="preserve">Security &amp; Facility Management</w:t>
            </w:r>
          </w:p>
        </w:tc>
        <w:tc>
          <w:tcPr/>
          <w:p>
            <w:pPr>
              <w:pStyle w:val="Compact"/>
              <w:jc w:val="center"/>
            </w:pPr>
            <w:r>
              <w:t xml:space="preserve">12,800</w:t>
            </w:r>
          </w:p>
        </w:tc>
        <w:tc>
          <w:tcPr/>
          <w:p>
            <w:pPr>
              <w:pStyle w:val="Compact"/>
              <w:jc w:val="center"/>
            </w:pPr>
            <w:r>
              <w:t xml:space="preserve">3.1%</w:t>
            </w:r>
          </w:p>
        </w:tc>
        <w:tc>
          <w:tcPr/>
          <w:p>
            <w:pPr>
              <w:pStyle w:val="Compact"/>
              <w:jc w:val="center"/>
            </w:pPr>
            <w:r>
              <w:t xml:space="preserve">8.3x</w:t>
            </w:r>
          </w:p>
        </w:tc>
        <w:tc>
          <w:tcPr/>
          <w:p>
            <w:pPr>
              <w:pStyle w:val="Compact"/>
              <w:jc w:val="center"/>
            </w:pPr>
            <w:r>
              <w:t xml:space="preserve">41.2x</w:t>
            </w:r>
          </w:p>
        </w:tc>
        <w:tc>
          <w:tcPr/>
          <w:p>
            <w:pPr>
              <w:pStyle w:val="Compact"/>
              <w:jc w:val="center"/>
            </w:pPr>
            <w:r>
              <w:t xml:space="preserve">11.2%</w:t>
            </w:r>
          </w:p>
        </w:tc>
      </w:tr>
      <w:tr>
        <w:tc>
          <w:tcPr/>
          <w:p>
            <w:pPr>
              <w:pStyle w:val="Compact"/>
              <w:jc w:val="left"/>
            </w:pPr>
            <w:r>
              <w:rPr>
                <w:b/>
                <w:bCs/>
              </w:rPr>
              <w:t xml:space="preserve">Quess Corp</w:t>
            </w:r>
          </w:p>
        </w:tc>
        <w:tc>
          <w:tcPr/>
          <w:p>
            <w:pPr>
              <w:pStyle w:val="Compact"/>
              <w:jc w:val="left"/>
            </w:pPr>
            <w:r>
              <w:t xml:space="preserve">Workforce Staffing &amp; BPO</w:t>
            </w:r>
          </w:p>
        </w:tc>
        <w:tc>
          <w:tcPr/>
          <w:p>
            <w:pPr>
              <w:pStyle w:val="Compact"/>
              <w:jc w:val="center"/>
            </w:pPr>
            <w:r>
              <w:t xml:space="preserve">19,500</w:t>
            </w:r>
          </w:p>
        </w:tc>
        <w:tc>
          <w:tcPr/>
          <w:p>
            <w:pPr>
              <w:pStyle w:val="Compact"/>
              <w:jc w:val="center"/>
            </w:pPr>
            <w:r>
              <w:t xml:space="preserve">1.8%</w:t>
            </w:r>
          </w:p>
        </w:tc>
        <w:tc>
          <w:tcPr/>
          <w:p>
            <w:pPr>
              <w:pStyle w:val="Compact"/>
              <w:jc w:val="center"/>
            </w:pPr>
            <w:r>
              <w:t xml:space="preserve">7.3x</w:t>
            </w:r>
          </w:p>
        </w:tc>
        <w:tc>
          <w:tcPr/>
          <w:p>
            <w:pPr>
              <w:pStyle w:val="Compact"/>
              <w:jc w:val="center"/>
            </w:pPr>
            <w:r>
              <w:t xml:space="preserve">22.4x</w:t>
            </w:r>
          </w:p>
        </w:tc>
        <w:tc>
          <w:tcPr/>
          <w:p>
            <w:pPr>
              <w:pStyle w:val="Compact"/>
              <w:jc w:val="center"/>
            </w:pPr>
            <w:r>
              <w:t xml:space="preserve">14.1%</w:t>
            </w:r>
          </w:p>
        </w:tc>
      </w:tr>
      <w:tr>
        <w:tc>
          <w:tcPr/>
          <w:p>
            <w:pPr>
              <w:pStyle w:val="Compact"/>
              <w:jc w:val="left"/>
            </w:pPr>
            <w:r>
              <w:rPr>
                <w:b/>
                <w:bCs/>
              </w:rPr>
              <w:t xml:space="preserve">TeamLease Services</w:t>
            </w:r>
          </w:p>
        </w:tc>
        <w:tc>
          <w:tcPr/>
          <w:p>
            <w:pPr>
              <w:pStyle w:val="Compact"/>
              <w:jc w:val="left"/>
            </w:pPr>
            <w:r>
              <w:t xml:space="preserve">Workforce Solutions</w:t>
            </w:r>
          </w:p>
        </w:tc>
        <w:tc>
          <w:tcPr/>
          <w:p>
            <w:pPr>
              <w:pStyle w:val="Compact"/>
              <w:jc w:val="center"/>
            </w:pPr>
            <w:r>
              <w:t xml:space="preserve">9,400</w:t>
            </w:r>
          </w:p>
        </w:tc>
        <w:tc>
          <w:tcPr/>
          <w:p>
            <w:pPr>
              <w:pStyle w:val="Compact"/>
              <w:jc w:val="center"/>
            </w:pPr>
            <w:r>
              <w:t xml:space="preserve">1.3%</w:t>
            </w:r>
          </w:p>
        </w:tc>
        <w:tc>
          <w:tcPr/>
          <w:p>
            <w:pPr>
              <w:pStyle w:val="Compact"/>
              <w:jc w:val="center"/>
            </w:pPr>
            <w:r>
              <w:t xml:space="preserve">8.6x</w:t>
            </w:r>
          </w:p>
        </w:tc>
        <w:tc>
          <w:tcPr/>
          <w:p>
            <w:pPr>
              <w:pStyle w:val="Compact"/>
              <w:jc w:val="center"/>
            </w:pPr>
            <w:r>
              <w:t xml:space="preserve">12.5x</w:t>
            </w:r>
          </w:p>
        </w:tc>
        <w:tc>
          <w:tcPr/>
          <w:p>
            <w:pPr>
              <w:pStyle w:val="Compact"/>
              <w:jc w:val="center"/>
            </w:pPr>
            <w:r>
              <w:t xml:space="preserve">13.8%</w:t>
            </w:r>
          </w:p>
        </w:tc>
      </w:tr>
    </w:tbl>
    <w:bookmarkEnd w:id="59"/>
    <w:bookmarkStart w:id="60" w:name="X453cd413fbd63f68f089b7a41474bdb5c4ce417"/>
    <w:p>
      <w:pPr>
        <w:pStyle w:val="Heading3"/>
      </w:pPr>
      <w:r>
        <w:t xml:space="preserve">6.2 Global Government BPO &amp; Mission-Critical Outsourcing Peers</w:t>
      </w:r>
    </w:p>
    <w:tbl>
      <w:tblPr>
        <w:tblStyle w:val="Table"/>
        <w:tblW w:type="pct" w:w="5000"/>
        <w:tblLayout w:type="fixed"/>
        <w:tblLook w:firstRow="1" w:lastRow="0" w:firstColumn="0" w:lastColumn="0" w:noHBand="0" w:noVBand="0" w:val="0020"/>
      </w:tblPr>
      <w:tblGrid>
        <w:gridCol w:w="1218"/>
        <w:gridCol w:w="1218"/>
        <w:gridCol w:w="1218"/>
        <w:gridCol w:w="1523"/>
        <w:gridCol w:w="1523"/>
        <w:gridCol w:w="1218"/>
      </w:tblGrid>
      <w:tr>
        <w:trPr>
          <w:tblHeader w:val="on"/>
        </w:trPr>
        <w:tc>
          <w:tcPr/>
          <w:p>
            <w:pPr>
              <w:pStyle w:val="Compact"/>
              <w:jc w:val="left"/>
            </w:pPr>
            <w:r>
              <w:t xml:space="preserve">Company Name</w:t>
            </w:r>
          </w:p>
        </w:tc>
        <w:tc>
          <w:tcPr/>
          <w:p>
            <w:pPr>
              <w:pStyle w:val="Compact"/>
              <w:jc w:val="left"/>
            </w:pPr>
            <w:r>
              <w:t xml:space="preserve">Country</w:t>
            </w:r>
          </w:p>
        </w:tc>
        <w:tc>
          <w:tcPr/>
          <w:p>
            <w:pPr>
              <w:pStyle w:val="Compact"/>
              <w:jc w:val="left"/>
            </w:pPr>
            <w:r>
              <w:t xml:space="preserve">Core Operating Model</w:t>
            </w:r>
          </w:p>
        </w:tc>
        <w:tc>
          <w:tcPr/>
          <w:p>
            <w:pPr>
              <w:pStyle w:val="Compact"/>
              <w:jc w:val="center"/>
            </w:pPr>
            <w:r>
              <w:t xml:space="preserve">EV / EBITDA</w:t>
            </w:r>
          </w:p>
        </w:tc>
        <w:tc>
          <w:tcPr/>
          <w:p>
            <w:pPr>
              <w:pStyle w:val="Compact"/>
              <w:jc w:val="center"/>
            </w:pPr>
            <w:r>
              <w:t xml:space="preserve">EBITDA Margin</w:t>
            </w:r>
          </w:p>
        </w:tc>
        <w:tc>
          <w:tcPr/>
          <w:p>
            <w:pPr>
              <w:pStyle w:val="Compact"/>
              <w:jc w:val="left"/>
            </w:pPr>
            <w:r>
              <w:t xml:space="preserve">Strategic Analogy</w:t>
            </w:r>
          </w:p>
        </w:tc>
      </w:tr>
      <w:tr>
        <w:tc>
          <w:tcPr/>
          <w:p>
            <w:pPr>
              <w:pStyle w:val="Compact"/>
              <w:jc w:val="left"/>
            </w:pPr>
            <w:r>
              <w:rPr>
                <w:b/>
                <w:bCs/>
              </w:rPr>
              <w:t xml:space="preserve">Conduent Inc (CNDT)</w:t>
            </w:r>
          </w:p>
        </w:tc>
        <w:tc>
          <w:tcPr/>
          <w:p>
            <w:pPr>
              <w:pStyle w:val="Compact"/>
              <w:jc w:val="left"/>
            </w:pPr>
            <w:r>
              <w:t xml:space="preserve">US</w:t>
            </w:r>
          </w:p>
        </w:tc>
        <w:tc>
          <w:tcPr/>
          <w:p>
            <w:pPr>
              <w:pStyle w:val="Compact"/>
              <w:jc w:val="left"/>
            </w:pPr>
            <w:r>
              <w:t xml:space="preserve">Government BPO &amp; Citizen Eligibility</w:t>
            </w:r>
          </w:p>
        </w:tc>
        <w:tc>
          <w:tcPr/>
          <w:p>
            <w:pPr>
              <w:pStyle w:val="Compact"/>
              <w:jc w:val="center"/>
            </w:pPr>
            <w:r>
              <w:t xml:space="preserve">7.8x</w:t>
            </w:r>
          </w:p>
        </w:tc>
        <w:tc>
          <w:tcPr/>
          <w:p>
            <w:pPr>
              <w:pStyle w:val="Compact"/>
              <w:jc w:val="center"/>
            </w:pPr>
            <w:r>
              <w:t xml:space="preserve">10.2%</w:t>
            </w:r>
          </w:p>
        </w:tc>
        <w:tc>
          <w:tcPr/>
          <w:p>
            <w:pPr>
              <w:pStyle w:val="Compact"/>
              <w:jc w:val="left"/>
            </w:pPr>
            <w:r>
              <w:t xml:space="preserve">State welfare &amp; transport processing</w:t>
            </w:r>
          </w:p>
        </w:tc>
      </w:tr>
      <w:tr>
        <w:tc>
          <w:tcPr/>
          <w:p>
            <w:pPr>
              <w:pStyle w:val="Compact"/>
              <w:jc w:val="left"/>
            </w:pPr>
            <w:r>
              <w:rPr>
                <w:b/>
                <w:bCs/>
              </w:rPr>
              <w:t xml:space="preserve">SAIC</w:t>
            </w:r>
          </w:p>
        </w:tc>
        <w:tc>
          <w:tcPr/>
          <w:p>
            <w:pPr>
              <w:pStyle w:val="Compact"/>
              <w:jc w:val="left"/>
            </w:pPr>
            <w:r>
              <w:t xml:space="preserve">US</w:t>
            </w:r>
          </w:p>
        </w:tc>
        <w:tc>
          <w:tcPr/>
          <w:p>
            <w:pPr>
              <w:pStyle w:val="Compact"/>
              <w:jc w:val="left"/>
            </w:pPr>
            <w:r>
              <w:t xml:space="preserve">Sovereign Defense &amp; IT Prime Contractor</w:t>
            </w:r>
          </w:p>
        </w:tc>
        <w:tc>
          <w:tcPr/>
          <w:p>
            <w:pPr>
              <w:pStyle w:val="Compact"/>
              <w:jc w:val="center"/>
            </w:pPr>
            <w:r>
              <w:t xml:space="preserve">12.4x</w:t>
            </w:r>
          </w:p>
        </w:tc>
        <w:tc>
          <w:tcPr/>
          <w:p>
            <w:pPr>
              <w:pStyle w:val="Compact"/>
              <w:jc w:val="center"/>
            </w:pPr>
            <w:r>
              <w:t xml:space="preserve">8.9%</w:t>
            </w:r>
          </w:p>
        </w:tc>
        <w:tc>
          <w:tcPr/>
          <w:p>
            <w:pPr>
              <w:pStyle w:val="Compact"/>
              <w:jc w:val="left"/>
            </w:pPr>
            <w:r>
              <w:t xml:space="preserve">High-security mission-critical IT</w:t>
            </w:r>
          </w:p>
        </w:tc>
      </w:tr>
      <w:tr>
        <w:tc>
          <w:tcPr/>
          <w:p>
            <w:pPr>
              <w:pStyle w:val="Compact"/>
              <w:jc w:val="left"/>
            </w:pPr>
            <w:r>
              <w:rPr>
                <w:b/>
                <w:bCs/>
              </w:rPr>
              <w:t xml:space="preserve">Serco Group plc</w:t>
            </w:r>
          </w:p>
        </w:tc>
        <w:tc>
          <w:tcPr/>
          <w:p>
            <w:pPr>
              <w:pStyle w:val="Compact"/>
              <w:jc w:val="left"/>
            </w:pPr>
            <w:r>
              <w:t xml:space="preserve">UK</w:t>
            </w:r>
          </w:p>
        </w:tc>
        <w:tc>
          <w:tcPr/>
          <w:p>
            <w:pPr>
              <w:pStyle w:val="Compact"/>
              <w:jc w:val="left"/>
            </w:pPr>
            <w:r>
              <w:t xml:space="preserve">Public Services, Prisons &amp; Visa Processing</w:t>
            </w:r>
          </w:p>
        </w:tc>
        <w:tc>
          <w:tcPr/>
          <w:p>
            <w:pPr>
              <w:pStyle w:val="Compact"/>
              <w:jc w:val="center"/>
            </w:pPr>
            <w:r>
              <w:t xml:space="preserve">8.5x</w:t>
            </w:r>
          </w:p>
        </w:tc>
        <w:tc>
          <w:tcPr/>
          <w:p>
            <w:pPr>
              <w:pStyle w:val="Compact"/>
              <w:jc w:val="center"/>
            </w:pPr>
            <w:r>
              <w:t xml:space="preserve">6.8%</w:t>
            </w:r>
          </w:p>
        </w:tc>
        <w:tc>
          <w:tcPr/>
          <w:p>
            <w:pPr>
              <w:pStyle w:val="Compact"/>
              <w:jc w:val="left"/>
            </w:pPr>
            <w:r>
              <w:t xml:space="preserve">Operates UK consular/border security</w:t>
            </w:r>
          </w:p>
        </w:tc>
      </w:tr>
    </w:tbl>
    <w:p>
      <w:pPr>
        <w:pStyle w:val="BodyText"/>
      </w:pPr>
      <w:r>
        <w:rPr>
          <w:b/>
          <w:bCs/>
        </w:rPr>
        <w:t xml:space="preserve">Comps Takeaway:</w:t>
      </w:r>
      <w:r>
        <w:t xml:space="preserve"> </w:t>
      </w:r>
      <w:r>
        <w:t xml:space="preserve">BLS combines the growth and margins of specialized financial infrastructure monopolies like CAMS (40%+ EBITDA, asset-light, mission-critical) with the multiple of a low-margin staffing company like Quess (7–9x EV/EBITDA). This multiple compression is completely unjustified.</w:t>
      </w:r>
    </w:p>
    <w:p>
      <w:r>
        <w:pict>
          <v:rect style="width:0;height:1.5pt" o:hralign="center" o:hrstd="t" o:hr="t"/>
        </w:pict>
      </w:r>
    </w:p>
    <w:bookmarkEnd w:id="60"/>
    <w:bookmarkEnd w:id="61"/>
    <w:bookmarkStart w:id="62" w:name="section-16"/>
    <w:p>
      <w:pPr>
        <w:pStyle w:val="Heading2"/>
      </w:pPr>
      <w:r>
        <w:t xml:space="preserve">═══════════════════════════════════════════════════════════════</w:t>
      </w:r>
    </w:p>
    <w:bookmarkEnd w:id="62"/>
    <w:bookmarkStart w:id="63" w:name="X6ca88bef044072ba8123844ba175db34ef65c63"/>
    <w:p>
      <w:pPr>
        <w:pStyle w:val="Heading2"/>
      </w:pPr>
      <w:r>
        <w:t xml:space="preserve">SECTION 7: MANAGEMENT QUALITY &amp; GOVERNANCE SCORECARD</w:t>
      </w:r>
    </w:p>
    <w:bookmarkEnd w:id="63"/>
    <w:bookmarkStart w:id="64" w:name="section-17"/>
    <w:p>
      <w:pPr>
        <w:pStyle w:val="Heading2"/>
      </w:pPr>
      <w:r>
        <w:t xml:space="preserve">═══════════════════════════════════════════════════════════════</w:t>
      </w:r>
    </w:p>
    <w:tbl>
      <w:tblPr>
        <w:tblStyle w:val="Table"/>
        <w:tblW w:type="pct" w:w="5000"/>
        <w:tblLayout w:type="fixed"/>
        <w:tblLook w:firstRow="1" w:lastRow="0" w:firstColumn="0" w:lastColumn="0" w:noHBand="0" w:noVBand="0" w:val="0020"/>
      </w:tblPr>
      <w:tblGrid>
        <w:gridCol w:w="2436"/>
        <w:gridCol w:w="3046"/>
        <w:gridCol w:w="2436"/>
      </w:tblGrid>
      <w:tr>
        <w:trPr>
          <w:tblHeader w:val="on"/>
        </w:trPr>
        <w:tc>
          <w:tcPr/>
          <w:p>
            <w:pPr>
              <w:pStyle w:val="Compact"/>
              <w:jc w:val="left"/>
            </w:pPr>
            <w:r>
              <w:t xml:space="preserve">Governance Dimension</w:t>
            </w:r>
          </w:p>
        </w:tc>
        <w:tc>
          <w:tcPr/>
          <w:p>
            <w:pPr>
              <w:pStyle w:val="Compact"/>
              <w:jc w:val="center"/>
            </w:pPr>
            <w:r>
              <w:t xml:space="preserve">Score (1–5)</w:t>
            </w:r>
          </w:p>
        </w:tc>
        <w:tc>
          <w:tcPr/>
          <w:p>
            <w:pPr>
              <w:pStyle w:val="Compact"/>
              <w:jc w:val="left"/>
            </w:pPr>
            <w:r>
              <w:t xml:space="preserve">Analytical Evidence &amp; Assessment</w:t>
            </w:r>
          </w:p>
        </w:tc>
      </w:tr>
      <w:tr>
        <w:tc>
          <w:tcPr/>
          <w:p>
            <w:pPr>
              <w:pStyle w:val="Compact"/>
              <w:jc w:val="left"/>
            </w:pPr>
            <w:r>
              <w:rPr>
                <w:b/>
                <w:bCs/>
              </w:rPr>
              <w:t xml:space="preserve">1. Capital Allocation Discipline</w:t>
            </w:r>
          </w:p>
        </w:tc>
        <w:tc>
          <w:tcPr/>
          <w:p>
            <w:pPr>
              <w:pStyle w:val="Compact"/>
              <w:jc w:val="center"/>
            </w:pPr>
            <w:r>
              <w:rPr>
                <w:b/>
                <w:bCs/>
              </w:rPr>
              <w:t xml:space="preserve">4 / 5</w:t>
            </w:r>
          </w:p>
        </w:tc>
        <w:tc>
          <w:tcPr/>
          <w:p>
            <w:pPr>
              <w:pStyle w:val="Compact"/>
              <w:jc w:val="left"/>
            </w:pPr>
            <w:r>
              <w:t xml:space="preserve">Asset-light model converts &gt;75% of EBITDA to FCF (FCF yield 6.7%); net cash of ₹1,617 Cr. Deducted 1 point for non-core UK hotel purchase (</w:t>
            </w:r>
            <w:r>
              <w:rPr>
                <w:i/>
                <w:iCs/>
              </w:rPr>
              <w:t xml:space="preserve">Trefeddian Hotel</w:t>
            </w:r>
            <w:r>
              <w:t xml:space="preserve">).</w:t>
            </w:r>
          </w:p>
        </w:tc>
      </w:tr>
      <w:tr>
        <w:tc>
          <w:tcPr/>
          <w:p>
            <w:pPr>
              <w:pStyle w:val="Compact"/>
              <w:jc w:val="left"/>
            </w:pPr>
            <w:r>
              <w:rPr>
                <w:b/>
                <w:bCs/>
              </w:rPr>
              <w:t xml:space="preserve">2. Guidance Delivery &amp; Accuracy</w:t>
            </w:r>
          </w:p>
        </w:tc>
        <w:tc>
          <w:tcPr/>
          <w:p>
            <w:pPr>
              <w:pStyle w:val="Compact"/>
              <w:jc w:val="center"/>
            </w:pPr>
            <w:r>
              <w:rPr>
                <w:b/>
                <w:bCs/>
              </w:rPr>
              <w:t xml:space="preserve">5 / 5</w:t>
            </w:r>
          </w:p>
        </w:tc>
        <w:tc>
          <w:tcPr/>
          <w:p>
            <w:pPr>
              <w:pStyle w:val="Compact"/>
              <w:jc w:val="left"/>
            </w:pPr>
            <w:r>
              <w:t xml:space="preserve">Delivered 36.7% revenue growth in FY26 against stated 30% guidance; crossed ₹3,000 Cr revenue mark ahead of schedule.</w:t>
            </w:r>
          </w:p>
        </w:tc>
      </w:tr>
      <w:tr>
        <w:tc>
          <w:tcPr/>
          <w:p>
            <w:pPr>
              <w:pStyle w:val="Compact"/>
              <w:jc w:val="left"/>
            </w:pPr>
            <w:r>
              <w:rPr>
                <w:b/>
                <w:bCs/>
              </w:rPr>
              <w:t xml:space="preserve">3. Crisis Management (MEA Saga)</w:t>
            </w:r>
          </w:p>
        </w:tc>
        <w:tc>
          <w:tcPr/>
          <w:p>
            <w:pPr>
              <w:pStyle w:val="Compact"/>
              <w:jc w:val="center"/>
            </w:pPr>
            <w:r>
              <w:rPr>
                <w:b/>
                <w:bCs/>
              </w:rPr>
              <w:t xml:space="preserve">4 / 5</w:t>
            </w:r>
          </w:p>
        </w:tc>
        <w:tc>
          <w:tcPr/>
          <w:p>
            <w:pPr>
              <w:pStyle w:val="Compact"/>
              <w:jc w:val="left"/>
            </w:pPr>
            <w:r>
              <w:t xml:space="preserve">Overturned arbitrary MEA debarment in Delhi HC within 70 days. Maintained full legal transparency.</w:t>
            </w:r>
          </w:p>
        </w:tc>
      </w:tr>
      <w:tr>
        <w:tc>
          <w:tcPr/>
          <w:p>
            <w:pPr>
              <w:pStyle w:val="Compact"/>
              <w:jc w:val="left"/>
            </w:pPr>
            <w:r>
              <w:rPr>
                <w:b/>
                <w:bCs/>
              </w:rPr>
              <w:t xml:space="preserve">4. Shareholder Returns</w:t>
            </w:r>
          </w:p>
        </w:tc>
        <w:tc>
          <w:tcPr/>
          <w:p>
            <w:pPr>
              <w:pStyle w:val="Compact"/>
              <w:jc w:val="center"/>
            </w:pPr>
            <w:r>
              <w:rPr>
                <w:b/>
                <w:bCs/>
              </w:rPr>
              <w:t xml:space="preserve">4 / 5</w:t>
            </w:r>
          </w:p>
        </w:tc>
        <w:tc>
          <w:tcPr/>
          <w:p>
            <w:pPr>
              <w:pStyle w:val="Compact"/>
              <w:jc w:val="left"/>
            </w:pPr>
            <w:r>
              <w:t xml:space="preserve">Consistent dividend payout; successful value unlocking via separate listing of BLS E-Services.</w:t>
            </w:r>
          </w:p>
        </w:tc>
      </w:tr>
      <w:tr>
        <w:tc>
          <w:tcPr/>
          <w:p>
            <w:pPr>
              <w:pStyle w:val="Compact"/>
              <w:jc w:val="left"/>
            </w:pPr>
            <w:r>
              <w:rPr>
                <w:b/>
                <w:bCs/>
              </w:rPr>
              <w:t xml:space="preserve">5. Investor Communication Quality</w:t>
            </w:r>
          </w:p>
        </w:tc>
        <w:tc>
          <w:tcPr/>
          <w:p>
            <w:pPr>
              <w:pStyle w:val="Compact"/>
              <w:jc w:val="center"/>
            </w:pPr>
            <w:r>
              <w:rPr>
                <w:b/>
                <w:bCs/>
              </w:rPr>
              <w:t xml:space="preserve">4 / 5</w:t>
            </w:r>
          </w:p>
        </w:tc>
        <w:tc>
          <w:tcPr/>
          <w:p>
            <w:pPr>
              <w:pStyle w:val="Compact"/>
              <w:jc w:val="left"/>
            </w:pPr>
            <w:r>
              <w:t xml:space="preserve">Comprehensive quarterly disclosures of operational KPIs (Net Rev/App, segment margins).</w:t>
            </w:r>
          </w:p>
        </w:tc>
      </w:tr>
      <w:tr>
        <w:tc>
          <w:tcPr/>
          <w:p>
            <w:pPr>
              <w:pStyle w:val="Compact"/>
              <w:jc w:val="left"/>
            </w:pPr>
            <w:r>
              <w:rPr>
                <w:b/>
                <w:bCs/>
              </w:rPr>
              <w:t xml:space="preserve">OVERALL MANAGEMENT SCORE</w:t>
            </w:r>
          </w:p>
        </w:tc>
        <w:tc>
          <w:tcPr/>
          <w:p>
            <w:pPr>
              <w:pStyle w:val="Compact"/>
              <w:jc w:val="center"/>
            </w:pPr>
            <w:r>
              <w:rPr>
                <w:b/>
                <w:bCs/>
              </w:rPr>
              <w:t xml:space="preserve">4.2 / 5.0</w:t>
            </w:r>
          </w:p>
        </w:tc>
        <w:tc>
          <w:tcPr/>
          <w:p>
            <w:pPr>
              <w:pStyle w:val="Compact"/>
              <w:jc w:val="left"/>
            </w:pPr>
            <w:r>
              <w:rPr>
                <w:b/>
                <w:bCs/>
              </w:rPr>
              <w:t xml:space="preserve">EXEMPLARY CAPITAL CONVERSION &amp; STRATEGIC EXECUTION</w:t>
            </w:r>
          </w:p>
        </w:tc>
      </w:tr>
    </w:tbl>
    <w:p>
      <w:pPr>
        <w:pStyle w:val="BlockText"/>
      </w:pPr>
      <w:r>
        <w:rPr>
          <w:b/>
          <w:bCs/>
        </w:rPr>
        <w:t xml:space="preserve">Management Commentary (Joint Managing Director Shikhar Aggarwal — Q4 FY26 Concall):</w:t>
      </w:r>
      <w:r>
        <w:br/>
      </w:r>
      <w:r>
        <w:rPr>
          <w:i/>
          <w:iCs/>
        </w:rPr>
        <w:t xml:space="preserve">“Our global visa processing franchise is experiencing unprecedented demand, driven by international travel normalization and expanding Schengen applicant volumes. The transition to our self-managed model has enabled us to achieve 40.1% EBITDA margins in the visa segment. We are confident of maintaining 20–25% compounded growth in FY27, backed by new contract additions and yield expansion.”</w:t>
      </w:r>
    </w:p>
    <w:p>
      <w:r>
        <w:pict>
          <v:rect style="width:0;height:1.5pt" o:hralign="center" o:hrstd="t" o:hr="t"/>
        </w:pict>
      </w:r>
    </w:p>
    <w:bookmarkEnd w:id="64"/>
    <w:bookmarkStart w:id="65" w:name="section-18"/>
    <w:p>
      <w:pPr>
        <w:pStyle w:val="Heading2"/>
      </w:pPr>
      <w:r>
        <w:t xml:space="preserve">═══════════════════════════════════════════════════════════════</w:t>
      </w:r>
    </w:p>
    <w:bookmarkEnd w:id="65"/>
    <w:bookmarkStart w:id="66" w:name="Xf28fddc4af3783218125fd874a15d1ccbeed74b"/>
    <w:p>
      <w:pPr>
        <w:pStyle w:val="Heading2"/>
      </w:pPr>
      <w:r>
        <w:t xml:space="preserve">SECTION 8: COMPREHENSIVE INVESTMENT RISKS MATRIX</w:t>
      </w:r>
    </w:p>
    <w:bookmarkEnd w:id="66"/>
    <w:bookmarkStart w:id="67" w:name="section-19"/>
    <w:p>
      <w:pPr>
        <w:pStyle w:val="Heading2"/>
      </w:pPr>
      <w:r>
        <w:t xml:space="preserve">═══════════════════════════════════════════════════════════════</w:t>
      </w:r>
    </w:p>
    <w:p>
      <w:pPr>
        <w:numPr>
          <w:ilvl w:val="0"/>
          <w:numId w:val="1008"/>
        </w:numPr>
      </w:pPr>
      <w:r>
        <w:rPr>
          <w:b/>
          <w:bCs/>
        </w:rPr>
        <w:t xml:space="preserve">Government Contract Renewal / Non-Renewal Risk (Prob: Medium | Impact: High)</w:t>
      </w:r>
      <w:r>
        <w:br/>
      </w:r>
      <w:r>
        <w:rPr>
          <w:i/>
          <w:iCs/>
        </w:rPr>
        <w:t xml:space="preserve">Risk:</w:t>
      </w:r>
      <w:r>
        <w:t xml:space="preserve"> </w:t>
      </w:r>
      <w:r>
        <w:t xml:space="preserve">Government contracts have fixed 3-to-5 year tenures and are subject to competitive re-tendering.</w:t>
      </w:r>
      <w:r>
        <w:br/>
      </w:r>
      <w:r>
        <w:rPr>
          <w:i/>
          <w:iCs/>
        </w:rPr>
        <w:t xml:space="preserve">Mitigant:</w:t>
      </w:r>
      <w:r>
        <w:t xml:space="preserve"> </w:t>
      </w:r>
      <w:r>
        <w:t xml:space="preserve">BLS serves 46+ sovereign client governments with staggered expiry dates. The Spain global mandate is active through FY28.</w:t>
      </w:r>
    </w:p>
    <w:p>
      <w:pPr>
        <w:numPr>
          <w:ilvl w:val="0"/>
          <w:numId w:val="1008"/>
        </w:numPr>
      </w:pPr>
      <w:r>
        <w:rPr>
          <w:b/>
          <w:bCs/>
        </w:rPr>
        <w:t xml:space="preserve">Permanent Exclusion from Indian MEA Tenders (Prob: Low | Impact: Medium)</w:t>
      </w:r>
      <w:r>
        <w:br/>
      </w:r>
      <w:r>
        <w:rPr>
          <w:i/>
          <w:iCs/>
        </w:rPr>
        <w:t xml:space="preserve">Risk:</w:t>
      </w:r>
      <w:r>
        <w:t xml:space="preserve"> </w:t>
      </w:r>
      <w:r>
        <w:t xml:space="preserve">Prolonged disputes with MEA could lock BLS out of Indian diplomatic missions.</w:t>
      </w:r>
      <w:r>
        <w:br/>
      </w:r>
      <w:r>
        <w:rPr>
          <w:i/>
          <w:iCs/>
        </w:rPr>
        <w:t xml:space="preserve">Mitigant:</w:t>
      </w:r>
      <w:r>
        <w:t xml:space="preserve"> </w:t>
      </w:r>
      <w:r>
        <w:t xml:space="preserve">Delhi HC fully quashed the debarment order; Supreme Court ordered fresh UAE procurement. Non-India revenue constitutes 88% of group turnover.</w:t>
      </w:r>
    </w:p>
    <w:p>
      <w:pPr>
        <w:numPr>
          <w:ilvl w:val="0"/>
          <w:numId w:val="1008"/>
        </w:numPr>
      </w:pPr>
      <w:r>
        <w:rPr>
          <w:b/>
          <w:bCs/>
        </w:rPr>
        <w:t xml:space="preserve">Geopolitical Conflicts &amp; Cross-Border Travel Freezes (Prob: Low | Impact: High)</w:t>
      </w:r>
      <w:r>
        <w:br/>
      </w:r>
      <w:r>
        <w:rPr>
          <w:i/>
          <w:iCs/>
        </w:rPr>
        <w:t xml:space="preserve">Risk:</w:t>
      </w:r>
      <w:r>
        <w:t xml:space="preserve"> </w:t>
      </w:r>
      <w:r>
        <w:t xml:space="preserve">Pandemics or escalating Middle East conflicts could shut international air corridors.</w:t>
      </w:r>
      <w:r>
        <w:br/>
      </w:r>
      <w:r>
        <w:rPr>
          <w:i/>
          <w:iCs/>
        </w:rPr>
        <w:t xml:space="preserve">Mitigant:</w:t>
      </w:r>
      <w:r>
        <w:t xml:space="preserve"> </w:t>
      </w:r>
      <w:r>
        <w:t xml:space="preserve">Negative working capital structure and ₹1,617 Cr cash buffer provide multi-year liquidity runway.</w:t>
      </w:r>
    </w:p>
    <w:p>
      <w:pPr>
        <w:numPr>
          <w:ilvl w:val="0"/>
          <w:numId w:val="1008"/>
        </w:numPr>
      </w:pPr>
      <w:r>
        <w:rPr>
          <w:b/>
          <w:bCs/>
        </w:rPr>
        <w:t xml:space="preserve">Digital Services Margin Compression (Prob: Medium | Impact: Low)</w:t>
      </w:r>
      <w:r>
        <w:br/>
      </w:r>
      <w:r>
        <w:rPr>
          <w:i/>
          <w:iCs/>
        </w:rPr>
        <w:t xml:space="preserve">Risk:</w:t>
      </w:r>
      <w:r>
        <w:t xml:space="preserve"> </w:t>
      </w:r>
      <w:r>
        <w:t xml:space="preserve">Rural BC banking correspondent commissions face structural price pressure from PSU banks.</w:t>
      </w:r>
      <w:r>
        <w:br/>
      </w:r>
      <w:r>
        <w:rPr>
          <w:i/>
          <w:iCs/>
        </w:rPr>
        <w:t xml:space="preserve">Mitigant:</w:t>
      </w:r>
      <w:r>
        <w:t xml:space="preserve"> </w:t>
      </w:r>
      <w:r>
        <w:t xml:space="preserve">BLS E-Services is separately capitalized, and Digital contributes &lt;10% of group EBITDA.</w:t>
      </w:r>
    </w:p>
    <w:p>
      <w:pPr>
        <w:numPr>
          <w:ilvl w:val="0"/>
          <w:numId w:val="1008"/>
        </w:numPr>
      </w:pPr>
      <w:r>
        <w:rPr>
          <w:b/>
          <w:bCs/>
        </w:rPr>
        <w:t xml:space="preserve">Client Sovereign Concentration Risk (Prob: Medium | Impact: Medium)</w:t>
      </w:r>
      <w:r>
        <w:br/>
      </w:r>
      <w:r>
        <w:rPr>
          <w:i/>
          <w:iCs/>
        </w:rPr>
        <w:t xml:space="preserve">Risk:</w:t>
      </w:r>
      <w:r>
        <w:t xml:space="preserve"> </w:t>
      </w:r>
      <w:r>
        <w:t xml:space="preserve">Spain and Germany represent a material portion of European visa volume.</w:t>
      </w:r>
      <w:r>
        <w:br/>
      </w:r>
      <w:r>
        <w:rPr>
          <w:i/>
          <w:iCs/>
        </w:rPr>
        <w:t xml:space="preserve">Mitigant:</w:t>
      </w:r>
      <w:r>
        <w:t xml:space="preserve"> </w:t>
      </w:r>
      <w:r>
        <w:t xml:space="preserve">Active expansion into Central Asia, Middle East, and Latin American diplomatic missions.</w:t>
      </w:r>
    </w:p>
    <w:p>
      <w:pPr>
        <w:numPr>
          <w:ilvl w:val="0"/>
          <w:numId w:val="1008"/>
        </w:numPr>
      </w:pPr>
      <w:r>
        <w:rPr>
          <w:b/>
          <w:bCs/>
        </w:rPr>
        <w:t xml:space="preserve">Capital Allocation to Non-Core Adjacencies (Prob: Low | Impact: Low)</w:t>
      </w:r>
      <w:r>
        <w:br/>
      </w:r>
      <w:r>
        <w:rPr>
          <w:i/>
          <w:iCs/>
        </w:rPr>
        <w:t xml:space="preserve">Risk:</w:t>
      </w:r>
      <w:r>
        <w:t xml:space="preserve"> </w:t>
      </w:r>
      <w:r>
        <w:t xml:space="preserve">Acquisitions outside core visa processing (such as the Welsh hotel) dilute return on equity.</w:t>
      </w:r>
      <w:r>
        <w:br/>
      </w:r>
      <w:r>
        <w:rPr>
          <w:i/>
          <w:iCs/>
        </w:rPr>
        <w:t xml:space="preserve">Mitigant:</w:t>
      </w:r>
      <w:r>
        <w:t xml:space="preserve"> </w:t>
      </w:r>
      <w:r>
        <w:t xml:space="preserve">Hotel purchase represents &lt;2% of cash balance and links to residency-by-investment immigration services.</w:t>
      </w:r>
    </w:p>
    <w:p>
      <w:pPr>
        <w:numPr>
          <w:ilvl w:val="0"/>
          <w:numId w:val="1008"/>
        </w:numPr>
      </w:pPr>
      <w:r>
        <w:rPr>
          <w:b/>
          <w:bCs/>
        </w:rPr>
        <w:t xml:space="preserve">BLS E-Services Listing Complexity &amp; HoldCo Discount (Prob: Low | Impact: Low)</w:t>
      </w:r>
      <w:r>
        <w:br/>
      </w:r>
      <w:r>
        <w:rPr>
          <w:i/>
          <w:iCs/>
        </w:rPr>
        <w:t xml:space="preserve">Risk:</w:t>
      </w:r>
      <w:r>
        <w:t xml:space="preserve"> </w:t>
      </w:r>
      <w:r>
        <w:t xml:space="preserve">Separate listing of subsidiary could trigger holding company discounts on parent shares.</w:t>
      </w:r>
      <w:r>
        <w:br/>
      </w:r>
      <w:r>
        <w:rPr>
          <w:i/>
          <w:iCs/>
        </w:rPr>
        <w:t xml:space="preserve">Mitigant:</w:t>
      </w:r>
      <w:r>
        <w:t xml:space="preserve"> </w:t>
      </w:r>
      <w:r>
        <w:t xml:space="preserve">Parent owns 51% controlling equity; our SOTP explicitly models a 15% HoldCo discount.</w:t>
      </w:r>
    </w:p>
    <w:p>
      <w:r>
        <w:pict>
          <v:rect style="width:0;height:1.5pt" o:hralign="center" o:hrstd="t" o:hr="t"/>
        </w:pict>
      </w:r>
    </w:p>
    <w:bookmarkEnd w:id="67"/>
    <w:bookmarkStart w:id="68" w:name="section-20"/>
    <w:p>
      <w:pPr>
        <w:pStyle w:val="Heading2"/>
      </w:pPr>
      <w:r>
        <w:t xml:space="preserve">═══════════════════════════════════════════════════════════════</w:t>
      </w:r>
    </w:p>
    <w:bookmarkEnd w:id="68"/>
    <w:bookmarkStart w:id="69" w:name="Xe98ffe422a7913a145606dd705a5782b44100b2"/>
    <w:p>
      <w:pPr>
        <w:pStyle w:val="Heading2"/>
      </w:pPr>
      <w:r>
        <w:t xml:space="preserve">SECTION 9: KEY STRATEGIC CATALYSTS (12–24 MONTHS)</w:t>
      </w:r>
    </w:p>
    <w:bookmarkEnd w:id="69"/>
    <w:bookmarkStart w:id="70" w:name="section-21"/>
    <w:p>
      <w:pPr>
        <w:pStyle w:val="Heading2"/>
      </w:pPr>
      <w:r>
        <w:t xml:space="preserve">═══════════════════════════════════════════════════════════════</w:t>
      </w:r>
    </w:p>
    <w:p>
      <w:pPr>
        <w:pStyle w:val="Compact"/>
        <w:numPr>
          <w:ilvl w:val="0"/>
          <w:numId w:val="1009"/>
        </w:numPr>
      </w:pPr>
      <w:r>
        <w:rPr>
          <w:b/>
          <w:bCs/>
        </w:rPr>
        <w:t xml:space="preserve">Cat 1: Supreme Court / MEA UAE Contract Re-Tender (Q3/Q4 FY27):</w:t>
      </w:r>
      <w:r>
        <w:t xml:space="preserve"> </w:t>
      </w:r>
      <w:r>
        <w:t xml:space="preserve">Fresh procurement allows BLS to bid for the ₹60 Cr PAT mandate.</w:t>
      </w:r>
    </w:p>
    <w:p>
      <w:pPr>
        <w:pStyle w:val="Compact"/>
        <w:numPr>
          <w:ilvl w:val="0"/>
          <w:numId w:val="1009"/>
        </w:numPr>
      </w:pPr>
      <w:r>
        <w:rPr>
          <w:b/>
          <w:bCs/>
        </w:rPr>
        <w:t xml:space="preserve">Cat 2: New Sovereign Government Wins:</w:t>
      </w:r>
      <w:r>
        <w:t xml:space="preserve"> </w:t>
      </w:r>
      <w:r>
        <w:t xml:space="preserve">Guided 20–25% revenue growth backed by Central Asian and Schengen country additions.</w:t>
      </w:r>
    </w:p>
    <w:p>
      <w:pPr>
        <w:pStyle w:val="Compact"/>
        <w:numPr>
          <w:ilvl w:val="0"/>
          <w:numId w:val="1009"/>
        </w:numPr>
      </w:pPr>
      <w:r>
        <w:rPr>
          <w:b/>
          <w:bCs/>
        </w:rPr>
        <w:t xml:space="preserve">Cat 3: Net Revenue per Application Crossing ₹3,800:</w:t>
      </w:r>
      <w:r>
        <w:t xml:space="preserve"> </w:t>
      </w:r>
      <w:r>
        <w:t xml:space="preserve">Accelerated monetisation of mobile biometrics and doorstep concierge services.</w:t>
      </w:r>
    </w:p>
    <w:p>
      <w:pPr>
        <w:pStyle w:val="Compact"/>
        <w:numPr>
          <w:ilvl w:val="0"/>
          <w:numId w:val="1009"/>
        </w:numPr>
      </w:pPr>
      <w:r>
        <w:rPr>
          <w:b/>
          <w:bCs/>
        </w:rPr>
        <w:t xml:space="preserve">Cat 4: Digital Margin Turnaround to 10%:</w:t>
      </w:r>
      <w:r>
        <w:t xml:space="preserve"> </w:t>
      </w:r>
      <w:r>
        <w:t xml:space="preserve">Scale efficiencies in</w:t>
      </w:r>
      <w:r>
        <w:t xml:space="preserve"> </w:t>
      </w:r>
      <w:r>
        <w:rPr>
          <w:i/>
          <w:iCs/>
        </w:rPr>
        <w:t xml:space="preserve">Aadifidelis</w:t>
      </w:r>
      <w:r>
        <w:t xml:space="preserve"> </w:t>
      </w:r>
      <w:r>
        <w:t xml:space="preserve">loan sourcing lifting subsidiary margins.</w:t>
      </w:r>
    </w:p>
    <w:p>
      <w:pPr>
        <w:pStyle w:val="Compact"/>
        <w:numPr>
          <w:ilvl w:val="0"/>
          <w:numId w:val="1009"/>
        </w:numPr>
      </w:pPr>
      <w:r>
        <w:rPr>
          <w:b/>
          <w:bCs/>
        </w:rPr>
        <w:t xml:space="preserve">Cat 5: Direct Peer Listing / M&amp;A Benchmark:</w:t>
      </w:r>
      <w:r>
        <w:t xml:space="preserve"> </w:t>
      </w:r>
      <w:r>
        <w:t xml:space="preserve">Any liquidity event for VFS Global or TLScontact establishing pure-play valuation marks.</w:t>
      </w:r>
    </w:p>
    <w:p>
      <w:pPr>
        <w:pStyle w:val="Compact"/>
        <w:numPr>
          <w:ilvl w:val="0"/>
          <w:numId w:val="1009"/>
        </w:numPr>
      </w:pPr>
      <w:r>
        <w:rPr>
          <w:b/>
          <w:bCs/>
        </w:rPr>
        <w:t xml:space="preserve">Cat 6: Outbound Tourism Structural Wave:</w:t>
      </w:r>
      <w:r>
        <w:t xml:space="preserve"> </w:t>
      </w:r>
      <w:r>
        <w:t xml:space="preserve">Compounding growth in Indian outbound travelers applying for Schengen visas.</w:t>
      </w:r>
    </w:p>
    <w:p>
      <w:r>
        <w:pict>
          <v:rect style="width:0;height:1.5pt" o:hralign="center" o:hrstd="t" o:hr="t"/>
        </w:pict>
      </w:r>
    </w:p>
    <w:bookmarkEnd w:id="70"/>
    <w:bookmarkStart w:id="71" w:name="section-22"/>
    <w:p>
      <w:pPr>
        <w:pStyle w:val="Heading2"/>
      </w:pPr>
      <w:r>
        <w:t xml:space="preserve">═══════════════════════════════════════════════════════════════</w:t>
      </w:r>
    </w:p>
    <w:bookmarkEnd w:id="71"/>
    <w:bookmarkStart w:id="72" w:name="X7c9e76d4df69dca5d6cc9990544ad89060833fd"/>
    <w:p>
      <w:pPr>
        <w:pStyle w:val="Heading2"/>
      </w:pPr>
      <w:r>
        <w:t xml:space="preserve">SECTION 10: INVESTMENT CONCLUSION &amp; RECOMMENDATION</w:t>
      </w:r>
    </w:p>
    <w:bookmarkEnd w:id="72"/>
    <w:bookmarkStart w:id="76" w:name="section-23"/>
    <w:p>
      <w:pPr>
        <w:pStyle w:val="Heading2"/>
      </w:pPr>
      <w:r>
        <w:t xml:space="preserve">═══════════════════════════════════════════════════════════════</w:t>
      </w:r>
    </w:p>
    <w:bookmarkStart w:id="73" w:name="the-bull-case"/>
    <w:p>
      <w:pPr>
        <w:pStyle w:val="Heading3"/>
      </w:pPr>
      <w:r>
        <w:t xml:space="preserve">The Bull Case</w:t>
      </w:r>
    </w:p>
    <w:p>
      <w:pPr>
        <w:pStyle w:val="FirstParagraph"/>
      </w:pPr>
      <w:r>
        <w:t xml:space="preserve">BLS completes its COCO transition across 100% of VACs, driving net revenue per application past ₹4,000, while re-securing the UAE consular mandate under the Supreme Court-ordered re-tender. In this scenario, FY28 PAT surpasses ₹1,200 Crore, and the stock re-rates to</w:t>
      </w:r>
      <w:r>
        <w:t xml:space="preserve"> </w:t>
      </w:r>
      <w:r>
        <w:rPr>
          <w:b/>
          <w:bCs/>
        </w:rPr>
        <w:t xml:space="preserve">₹450.00 (+101% upside)</w:t>
      </w:r>
      <w:r>
        <w:t xml:space="preserve">.</w:t>
      </w:r>
    </w:p>
    <w:bookmarkEnd w:id="73"/>
    <w:bookmarkStart w:id="74" w:name="the-bear-case-thesis-break-points"/>
    <w:p>
      <w:pPr>
        <w:pStyle w:val="Heading3"/>
      </w:pPr>
      <w:r>
        <w:t xml:space="preserve">The Bear Case (Thesis Break Points)</w:t>
      </w:r>
    </w:p>
    <w:p>
      <w:pPr>
        <w:pStyle w:val="FirstParagraph"/>
      </w:pPr>
      <w:r>
        <w:t xml:space="preserve">The thesis would break if BLS loses 2 or more of its top 3 Schengen government concessions (Spain, Germany, Italy) at renewal, or if MEA permanently debars BLS globally. However, with non-India operations comprising 88% of group earnings and ₹1,617 Cr in liquid cash, downside is bounded at</w:t>
      </w:r>
      <w:r>
        <w:t xml:space="preserve"> </w:t>
      </w:r>
      <w:r>
        <w:rPr>
          <w:b/>
          <w:bCs/>
        </w:rPr>
        <w:t xml:space="preserve">₹240.00 (+7% from CMP)</w:t>
      </w:r>
      <w:r>
        <w:t xml:space="preserve">.</w:t>
      </w:r>
    </w:p>
    <w:bookmarkEnd w:id="74"/>
    <w:bookmarkStart w:id="75" w:name="entry-point-rationale"/>
    <w:p>
      <w:pPr>
        <w:pStyle w:val="Heading3"/>
      </w:pPr>
      <w:r>
        <w:t xml:space="preserve">Entry Point Rationale</w:t>
      </w:r>
    </w:p>
    <w:p>
      <w:pPr>
        <w:pStyle w:val="FirstParagraph"/>
      </w:pPr>
      <w:r>
        <w:t xml:space="preserve">Trading at an implied EV/EBITDA of 7.2x for the core Visa concession engine, a 6.7% FCF yield, and with 17.5% of its market cap backed by liquid cash, BLS International represents one of the most asymmetric risk-reward opportunities in the Indian market.</w:t>
      </w:r>
    </w:p>
    <w:p>
      <w:pPr>
        <w:pStyle w:val="SourceCode"/>
      </w:pPr>
      <w:r>
        <w:rPr>
          <w:rStyle w:val="VerbatimChar"/>
        </w:rPr>
        <w:t xml:space="preserve">┌─────────────────────────────────────────────────────────────────────────────┐</w:t>
      </w:r>
      <w:r>
        <w:br/>
      </w:r>
      <w:r>
        <w:rPr>
          <w:rStyle w:val="VerbatimChar"/>
        </w:rPr>
        <w:t xml:space="preserve">│ FINAL RECOMMENDATION:           BUY (HIGH CONVICTION)                       │</w:t>
      </w:r>
      <w:r>
        <w:br/>
      </w:r>
      <w:r>
        <w:rPr>
          <w:rStyle w:val="VerbatimChar"/>
        </w:rPr>
        <w:t xml:space="preserve">│ 12-MONTH SOTP TARGET PRICE:     ₹375.00                                     │</w:t>
      </w:r>
      <w:r>
        <w:br/>
      </w:r>
      <w:r>
        <w:rPr>
          <w:rStyle w:val="VerbatimChar"/>
        </w:rPr>
        <w:t xml:space="preserve">│ POTENTIAL UPSIDE:               +67.4%                                      │</w:t>
      </w:r>
      <w:r>
        <w:br/>
      </w:r>
      <w:r>
        <w:rPr>
          <w:rStyle w:val="VerbatimChar"/>
        </w:rPr>
        <w:t xml:space="preserve">│ CURRENT MARKET PRICE:           ₹224.00                                     │</w:t>
      </w:r>
      <w:r>
        <w:br/>
      </w:r>
      <w:r>
        <w:rPr>
          <w:rStyle w:val="VerbatimChar"/>
        </w:rPr>
        <w:t xml:space="preserve">│ RISK / REWARD PROFILE:          Highly Asymmetric (10:1 Upside-to-Downside)  │</w:t>
      </w:r>
      <w:r>
        <w:br/>
      </w:r>
      <w:r>
        <w:rPr>
          <w:rStyle w:val="VerbatimChar"/>
        </w:rPr>
        <w:t xml:space="preserve">└─────────────────────────────────────────────────────────────────────────────┘</w:t>
      </w:r>
    </w:p>
    <w:p>
      <w:r>
        <w:pict>
          <v:rect style="width:0;height:1.5pt" o:hralign="center" o:hrstd="t" o:hr="t"/>
        </w:pict>
      </w:r>
    </w:p>
    <w:bookmarkEnd w:id="75"/>
    <w:bookmarkEnd w:id="76"/>
    <w:bookmarkStart w:id="77" w:name="section-24"/>
    <w:p>
      <w:pPr>
        <w:pStyle w:val="Heading2"/>
      </w:pPr>
      <w:r>
        <w:t xml:space="preserve">═══════════════════════════════════════════════════════════════</w:t>
      </w:r>
    </w:p>
    <w:bookmarkEnd w:id="77"/>
    <w:bookmarkStart w:id="78" w:name="X11b831560fedb8a0bff697018cbaf2cc27ed186"/>
    <w:p>
      <w:pPr>
        <w:pStyle w:val="Heading2"/>
      </w:pPr>
      <w:r>
        <w:t xml:space="preserve">SECTION 11: RESEARCH ANALYST DISCLOSURES &amp; CERTIFICATIONS</w:t>
      </w:r>
    </w:p>
    <w:bookmarkEnd w:id="78"/>
    <w:bookmarkStart w:id="79" w:name="section-25"/>
    <w:p>
      <w:pPr>
        <w:pStyle w:val="Heading2"/>
      </w:pPr>
      <w:r>
        <w:t xml:space="preserve">═══════════════════════════════════════════════════════════════</w:t>
      </w:r>
    </w:p>
    <w:p>
      <w:pPr>
        <w:pStyle w:val="FirstParagraph"/>
      </w:pPr>
      <w:r>
        <w:rPr>
          <w:b/>
          <w:bCs/>
        </w:rPr>
        <w:t xml:space="preserve">Analyst Certification:</w:t>
      </w:r>
      <w:r>
        <w:br/>
      </w:r>
      <w:r>
        <w:t xml:space="preserve">I, Mahim, author and lead research analyst, certify that the views expressed in this research report accurately reflect personal views regarding BLS International Services Ltd (NSE: BLS | BSE: 540073) and its subsidiary BLS E-Services Ltd. The report has been prepared in compliance with SEBI (Research Analysts) Regulations, 2014 and NISM Series XV specifications. The analyst holds zero financial interest or beneficial ownership in the securities of the subject company and has received no compensation from BLS International.</w:t>
      </w:r>
    </w:p>
    <w:p>
      <w:pPr>
        <w:pStyle w:val="BodyText"/>
      </w:pPr>
      <w:r>
        <w:rPr>
          <w:b/>
          <w:bCs/>
        </w:rPr>
        <w:t xml:space="preserve">Institutional Disclaimer:</w:t>
      </w:r>
      <w:r>
        <w:br/>
      </w:r>
      <w:r>
        <w:t xml:space="preserve">This document is published exclusively for recruiting, educational, and institutional research purposes. It does not constitute individual investment advice or an endorsement to buy or sell securities. Past financial performance is not indicative of future market returns. Stock investments are subject to market volatility.</w:t>
      </w:r>
    </w:p>
    <w:bookmarkEnd w:id="79"/>
    <w:bookmarkEnd w:id="8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2026-10-06T18:03:39Z</dcterms:created>
  <dcterms:modified xsi:type="dcterms:W3CDTF">2026-10-06T18:03:39Z</dcterms:modified>
</cp:coreProperties>
</file>

<file path=docProps/custom.xml><?xml version="1.0" encoding="utf-8"?>
<Properties xmlns="http://schemas.openxmlformats.org/officeDocument/2006/custom-properties" xmlns:vt="http://schemas.openxmlformats.org/officeDocument/2006/docPropsVTypes"/>
</file>